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B7" w:rsidRPr="00B27EE9" w:rsidRDefault="0079119D">
      <w:pPr>
        <w:rPr>
          <w:rFonts w:ascii="Times New Roman" w:hAnsi="Times New Roman" w:cs="Times New Roman"/>
          <w:sz w:val="28"/>
          <w:szCs w:val="28"/>
        </w:rPr>
      </w:pPr>
      <w:r w:rsidRPr="00B27EE9">
        <w:rPr>
          <w:rFonts w:ascii="Times New Roman" w:hAnsi="Times New Roman" w:cs="Times New Roman"/>
          <w:sz w:val="28"/>
          <w:szCs w:val="28"/>
        </w:rPr>
        <w:t>Оглавление</w:t>
      </w:r>
    </w:p>
    <w:p w:rsidR="0079119D" w:rsidRDefault="0079119D">
      <w:pPr>
        <w:rPr>
          <w:rFonts w:ascii="Times New Roman" w:hAnsi="Times New Roman" w:cs="Times New Roman"/>
          <w:sz w:val="28"/>
          <w:szCs w:val="28"/>
        </w:rPr>
      </w:pPr>
      <w:r w:rsidRPr="00B27EE9">
        <w:rPr>
          <w:rFonts w:ascii="Times New Roman" w:hAnsi="Times New Roman" w:cs="Times New Roman"/>
          <w:sz w:val="28"/>
          <w:szCs w:val="28"/>
        </w:rPr>
        <w:t>Введение</w:t>
      </w:r>
    </w:p>
    <w:p w:rsidR="00767315" w:rsidRPr="00767315" w:rsidRDefault="00767315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Лабораторная диагностика железодефицитных состояний</w:t>
      </w:r>
    </w:p>
    <w:p w:rsidR="00767315" w:rsidRPr="00767315" w:rsidRDefault="00767315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Показатели общего анализа крови, характеризующие состояние</w:t>
      </w:r>
    </w:p>
    <w:p w:rsidR="00767315" w:rsidRDefault="00767315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P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железодефицитной анемии</w:t>
      </w:r>
    </w:p>
    <w:p w:rsidR="000209F9" w:rsidRPr="000209F9" w:rsidRDefault="000209F9" w:rsidP="0002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Биохимические показатели, характеризующие состояние обмена</w:t>
      </w:r>
    </w:p>
    <w:p w:rsidR="000209F9" w:rsidRPr="000209F9" w:rsidRDefault="000209F9" w:rsidP="0002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 в организме при железодефицитных состояниях</w:t>
      </w:r>
    </w:p>
    <w:p w:rsidR="001858A0" w:rsidRPr="001858A0" w:rsidRDefault="00FF5F9A" w:rsidP="001858A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8A0">
        <w:rPr>
          <w:rFonts w:ascii="Times New Roman" w:hAnsi="Times New Roman" w:cs="Times New Roman"/>
          <w:sz w:val="28"/>
          <w:szCs w:val="28"/>
        </w:rPr>
        <w:t xml:space="preserve">2. Лечение </w:t>
      </w:r>
      <w:proofErr w:type="spellStart"/>
      <w:r w:rsidRPr="001858A0">
        <w:rPr>
          <w:rFonts w:ascii="Times New Roman" w:hAnsi="Times New Roman" w:cs="Times New Roman"/>
          <w:sz w:val="28"/>
          <w:szCs w:val="28"/>
        </w:rPr>
        <w:t>железодифицитных</w:t>
      </w:r>
      <w:proofErr w:type="spellEnd"/>
      <w:r w:rsidRPr="001858A0">
        <w:rPr>
          <w:rFonts w:ascii="Times New Roman" w:hAnsi="Times New Roman" w:cs="Times New Roman"/>
          <w:sz w:val="28"/>
          <w:szCs w:val="28"/>
        </w:rPr>
        <w:t xml:space="preserve"> состояний</w:t>
      </w:r>
    </w:p>
    <w:p w:rsidR="00FF5F9A" w:rsidRDefault="00FF5F9A" w:rsidP="001858A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Диета при железодефицитных состояниях</w:t>
      </w:r>
    </w:p>
    <w:p w:rsidR="0013536E" w:rsidRDefault="0013536E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Современные препараты для лечения железодефицитной анемии</w:t>
      </w:r>
    </w:p>
    <w:p w:rsidR="0013536E" w:rsidRPr="0013536E" w:rsidRDefault="0013536E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Контроль эффективности лечения железодефицитной анемии</w:t>
      </w:r>
    </w:p>
    <w:p w:rsidR="0013536E" w:rsidRDefault="0013536E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препаратами железа</w:t>
      </w:r>
    </w:p>
    <w:p w:rsidR="00815EAB" w:rsidRDefault="00815EAB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EAB" w:rsidRDefault="00815EAB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15EAB" w:rsidRPr="0013536E" w:rsidRDefault="00815EAB" w:rsidP="0013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3536E" w:rsidRPr="001858A0" w:rsidRDefault="0013536E" w:rsidP="001858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F9A" w:rsidRPr="00767315" w:rsidRDefault="00FF5F9A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315" w:rsidRPr="00B27EE9" w:rsidRDefault="00767315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Pr="00B27EE9" w:rsidRDefault="0079119D">
      <w:pPr>
        <w:rPr>
          <w:rFonts w:ascii="Times New Roman" w:hAnsi="Times New Roman" w:cs="Times New Roman"/>
          <w:sz w:val="28"/>
          <w:szCs w:val="28"/>
        </w:rPr>
      </w:pPr>
    </w:p>
    <w:p w:rsidR="0079119D" w:rsidRDefault="0079119D">
      <w:pPr>
        <w:rPr>
          <w:rFonts w:ascii="Times New Roman" w:hAnsi="Times New Roman" w:cs="Times New Roman"/>
          <w:sz w:val="28"/>
          <w:szCs w:val="28"/>
        </w:rPr>
      </w:pPr>
    </w:p>
    <w:p w:rsidR="0013536E" w:rsidRPr="00B27EE9" w:rsidRDefault="0013536E">
      <w:pPr>
        <w:rPr>
          <w:rFonts w:ascii="Times New Roman" w:hAnsi="Times New Roman" w:cs="Times New Roman"/>
          <w:sz w:val="28"/>
          <w:szCs w:val="28"/>
        </w:rPr>
      </w:pPr>
    </w:p>
    <w:p w:rsidR="0079119D" w:rsidRPr="00767315" w:rsidRDefault="0079119D" w:rsidP="0076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1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9119D" w:rsidRPr="00B27EE9" w:rsidRDefault="00B27EE9" w:rsidP="0079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Анемии – патологические состояния, сопровождающиеся снижением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гемоглобина (</w:t>
      </w:r>
      <w:proofErr w:type="spellStart"/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количества эритроцитов (RBC) в единице объема крови. Анеми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диагностируется по критериям ВОЗ у детей до 5 лет при </w:t>
      </w:r>
      <w:proofErr w:type="spellStart"/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г/л, у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5 лет – менее 120 г/л, у подростков девочек - менее 120 г/л, у подростко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- менее 130 г/л.</w:t>
      </w:r>
    </w:p>
    <w:p w:rsidR="0079119D" w:rsidRPr="00B27EE9" w:rsidRDefault="00B27EE9" w:rsidP="0079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полиэтиологичное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заболевание,</w:t>
      </w:r>
    </w:p>
    <w:p w:rsidR="0079119D" w:rsidRPr="00B27EE9" w:rsidRDefault="0079119D" w:rsidP="0079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сопровождающееся снижением уровня гемоглобина и эритроцито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 единице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крови, сывороточного железа,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ферритина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повышением ОЖСС, вследствие дефицита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 в организме, в результате нарушения его поступления, усвоения или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патологических потерь.</w:t>
      </w:r>
    </w:p>
    <w:p w:rsidR="0079119D" w:rsidRPr="00767315" w:rsidRDefault="0079119D" w:rsidP="0076731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>Анемия, или малокровие — это патологическое состояние, характеризующееся уменьшением концентрации гемоглобина (&lt; 130 г/л — для мужчин и &lt; 120 г/л — для женщин) и в подавляющем большинстве случаев числа эритроцитов в единице объема крови.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(ВОЗ), дефицит железа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занимает первое место среди 38 наиболее распространенных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– им страдают б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3 </w:t>
      </w:r>
      <w:proofErr w:type="spellStart"/>
      <w:proofErr w:type="gramStart"/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 Земле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высок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развития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латен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тного (ЛДЖ), так и </w:t>
      </w:r>
      <w:proofErr w:type="spellStart"/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манифестного</w:t>
      </w:r>
      <w:proofErr w:type="spellEnd"/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(железодефицитная анемия – ЖДА) у детей (особенно первых двух лет жизни) и женщин репро</w:t>
      </w:r>
      <w:r w:rsid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дуктивного возраста.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около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50% детей дошкольного возраста и беременных женщин имеют анемию. Установлено, что при частоте анемии 20% ДЖ существует у 50% населения в популяции. При частоте анемии 40% и выше вся популяция имеет различные виды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России, по данным разных авторов, ЖДА регистрируется у 6–40%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</w:p>
    <w:p w:rsidR="007650D4" w:rsidRPr="00B27EE9" w:rsidRDefault="00061DB5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7650D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исследова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Subramanian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="007650D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9% детей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двух лет жизни имеют ЖДА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содержания железа в организме (в тканевых депо, в сыворотке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 и костном мозге) приводит к нарушению образования гемоглобина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снижению темпов его синтеза, накоплению свободных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протопорфиринов</w:t>
      </w:r>
      <w:proofErr w:type="spellEnd"/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эритроцитах, развитию гипохромной анемии и трофических расстройств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органах и тканях. Клинически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задержкой умственного и моторного развития, снижением активности иммунной системы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нарушения синтеза интерлейкина-2 (IL-2), Т-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киллеров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систематизация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диагностики, лечения и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железодефицитных состояний (ЖДС) является чрезвычайно актуальной задачей.</w:t>
      </w:r>
    </w:p>
    <w:p w:rsidR="0079119D" w:rsidRDefault="0079119D" w:rsidP="0076731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обсуждения этой темы очень велика, так как анемии — это довольно таки распространенные заболевания, связанные с массой самых </w:t>
      </w:r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различных причин. Ионы железа выполняют в организме человека очень важную функцию. Они входят в состав белков, осуществляющих перенос кислорода, </w:t>
      </w:r>
      <w:proofErr w:type="spellStart"/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>цитохромов</w:t>
      </w:r>
      <w:proofErr w:type="spellEnd"/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</w:t>
      </w:r>
      <w:proofErr w:type="spellStart"/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>железосеропротеинов</w:t>
      </w:r>
      <w:proofErr w:type="spellEnd"/>
      <w:r w:rsidRPr="00767315">
        <w:rPr>
          <w:rFonts w:ascii="Times New Roman" w:hAnsi="Times New Roman" w:cs="Times New Roman"/>
          <w:color w:val="000000" w:themeColor="text1"/>
          <w:sz w:val="28"/>
          <w:szCs w:val="28"/>
        </w:rPr>
        <w:t>, железосодержащих ферментов. Поэтому недостаток железа в организме приводит ко многим негативным последствиям. Избыточное содержание железа в организме тоже опасно. Оно приводит к развитию токсикозов, патологическому повышению уровня активных форм кислорода. Анемия возникает во все периоды жизни человека не только при различных заболеваниях, но и при некоторых физиологических состояниях, например, при беременности, в период усиленного роста, лактации. Важное социальное значение имеет проблема анемий у детей раннего возраста, так как анемия в этом возрасте может привести к нарушениям физического развития и обмена железа.</w:t>
      </w:r>
    </w:p>
    <w:p w:rsidR="00767315" w:rsidRPr="00767315" w:rsidRDefault="00767315" w:rsidP="0076731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0D4" w:rsidRPr="00767315" w:rsidRDefault="00061DB5" w:rsidP="00061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50D4"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Лабораторная диагностика</w:t>
      </w:r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50D4"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железодефицитных состояний</w:t>
      </w:r>
    </w:p>
    <w:p w:rsidR="007650D4" w:rsidRPr="00767315" w:rsidRDefault="00061DB5" w:rsidP="00061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50D4"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 Показатели общего анализа крови, характеризующие состояние</w:t>
      </w:r>
    </w:p>
    <w:p w:rsidR="007650D4" w:rsidRDefault="007650D4" w:rsidP="00061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эритропоэза</w:t>
      </w:r>
      <w:proofErr w:type="spellEnd"/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железодефицитной анемии</w:t>
      </w:r>
    </w:p>
    <w:p w:rsidR="00767315" w:rsidRPr="00767315" w:rsidRDefault="00767315" w:rsidP="00061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50D4" w:rsidRPr="00B27EE9" w:rsidRDefault="00061DB5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0D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анализе крови для характеристики </w:t>
      </w:r>
      <w:proofErr w:type="spellStart"/>
      <w:r w:rsidR="007650D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="007650D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следующие показатели: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RBC;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цветовой показатель (ЦП);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количество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гематокрит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среднее содержание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эритроците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hemoglobin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MCH);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средняя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эритроците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corpuscular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hemoglobin</w:t>
      </w:r>
      <w:proofErr w:type="spellEnd"/>
      <w:proofErr w:type="gramEnd"/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concentration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MCHC);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(mean corpuscular volume – MCV);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ширина распределения эритроцитов по объему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distribution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width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RDW);</w:t>
      </w:r>
    </w:p>
    <w:p w:rsidR="007650D4" w:rsidRPr="00B27EE9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морфологические особенности эритроцитов.</w:t>
      </w:r>
    </w:p>
    <w:p w:rsidR="007650D4" w:rsidRDefault="007650D4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RBC можно посчитать двумя унифици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рованными методами – под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микроскопом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счетной камере Горяева или с помощью автоматического гематологического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анализатора. Нормальные пределы коле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баний RBC представлены в табл. 1</w:t>
      </w:r>
    </w:p>
    <w:p w:rsidR="00061DB5" w:rsidRPr="00B27EE9" w:rsidRDefault="00061DB5" w:rsidP="00765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19D" w:rsidRDefault="007650D4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 RBC у детей</w:t>
      </w:r>
    </w:p>
    <w:p w:rsidR="00767315" w:rsidRPr="00B27EE9" w:rsidRDefault="00767315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50D4" w:rsidRPr="00B27EE9" w:rsidTr="007650D4">
        <w:tc>
          <w:tcPr>
            <w:tcW w:w="4785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Пол/возраст</w:t>
            </w:r>
          </w:p>
        </w:tc>
        <w:tc>
          <w:tcPr>
            <w:tcW w:w="4786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RBC</w:t>
            </w: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, х10</w:t>
            </w:r>
            <w:r w:rsidRPr="00B27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</w:t>
            </w: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12/л</w:t>
            </w:r>
          </w:p>
        </w:tc>
      </w:tr>
      <w:tr w:rsidR="007650D4" w:rsidRPr="00B27EE9" w:rsidTr="007650D4">
        <w:tc>
          <w:tcPr>
            <w:tcW w:w="4785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Младше 6 лет</w:t>
            </w:r>
          </w:p>
        </w:tc>
        <w:tc>
          <w:tcPr>
            <w:tcW w:w="4786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3,66–5,08</w:t>
            </w:r>
          </w:p>
        </w:tc>
      </w:tr>
      <w:tr w:rsidR="007650D4" w:rsidRPr="00B27EE9" w:rsidTr="007650D4">
        <w:tc>
          <w:tcPr>
            <w:tcW w:w="4785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Мальчики в возрасте 7 и старше лет</w:t>
            </w:r>
          </w:p>
        </w:tc>
        <w:tc>
          <w:tcPr>
            <w:tcW w:w="4786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4,00–5,12</w:t>
            </w:r>
          </w:p>
        </w:tc>
      </w:tr>
      <w:tr w:rsidR="007650D4" w:rsidRPr="00B27EE9" w:rsidTr="007650D4">
        <w:tc>
          <w:tcPr>
            <w:tcW w:w="4785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Девочки в возрасте 7 и старше лет</w:t>
            </w:r>
          </w:p>
        </w:tc>
        <w:tc>
          <w:tcPr>
            <w:tcW w:w="4786" w:type="dxa"/>
          </w:tcPr>
          <w:p w:rsidR="007650D4" w:rsidRPr="00B27EE9" w:rsidRDefault="007650D4" w:rsidP="0006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3,99–4,41</w:t>
            </w:r>
          </w:p>
        </w:tc>
      </w:tr>
    </w:tbl>
    <w:p w:rsidR="00767315" w:rsidRDefault="00767315" w:rsidP="008B74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59" w:rsidRPr="00B27EE9" w:rsidRDefault="008B7459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RBC в начальной стадии заболевания чаще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прогрессии</w:t>
      </w:r>
    </w:p>
    <w:p w:rsidR="008B7459" w:rsidRPr="00B27EE9" w:rsidRDefault="008B7459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снижении эффективности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RBC, а также количество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</w:p>
    <w:p w:rsidR="008B7459" w:rsidRPr="00B27EE9" w:rsidRDefault="008B7459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снижается, а в дальнейшем, после назначения препаратов железа, повышается.</w:t>
      </w:r>
    </w:p>
    <w:p w:rsidR="008B7459" w:rsidRPr="00B27EE9" w:rsidRDefault="008B7459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унифицированным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гемиглобинцианидным</w:t>
      </w:r>
      <w:proofErr w:type="spellEnd"/>
    </w:p>
    <w:p w:rsidR="008B7459" w:rsidRPr="00B27EE9" w:rsidRDefault="008B7459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как «ручным» методом, так и с помощью автоматических гематологических анализаторов. Согласно рекомендациям ВОЗ [3], нижней границей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концентрации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считать 110 г/л у детей в возрасте от 6 мес.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лет, 115 г/л у детей в возрасте 6–11 лет и 120 г/л у детей старше 12 лет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 2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7459" w:rsidRPr="00B27EE9" w:rsidRDefault="00767315" w:rsidP="008B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  <w:r w:rsidR="008B7459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концентрации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C3C38" w:rsidRPr="00B27EE9" w:rsidTr="007C3C38">
        <w:tc>
          <w:tcPr>
            <w:tcW w:w="4785" w:type="dxa"/>
          </w:tcPr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Концентрация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Hb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г/л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 возрасте от 6 мес. до 6 лет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Не менее 110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 возрасте 6–11 лет</w:t>
            </w:r>
          </w:p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Не менее 115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 возрасте 12 лет и старше</w:t>
            </w:r>
          </w:p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Не менее 120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Не менее 120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Не менее 130</w:t>
            </w:r>
          </w:p>
        </w:tc>
      </w:tr>
    </w:tbl>
    <w:p w:rsidR="008B7459" w:rsidRPr="00B27EE9" w:rsidRDefault="008B7459">
      <w:pPr>
        <w:rPr>
          <w:rFonts w:ascii="Times New Roman" w:hAnsi="Times New Roman" w:cs="Times New Roman"/>
          <w:sz w:val="28"/>
          <w:szCs w:val="28"/>
        </w:rPr>
      </w:pPr>
    </w:p>
    <w:p w:rsidR="007C3C38" w:rsidRDefault="00C247C3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табл. 3 </w:t>
      </w:r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значения концентрации </w:t>
      </w:r>
      <w:proofErr w:type="spellStart"/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являются критериями лабораторной диагностики анемии.</w:t>
      </w:r>
    </w:p>
    <w:p w:rsidR="00C247C3" w:rsidRPr="00B27EE9" w:rsidRDefault="00C247C3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C247C3" w:rsidRDefault="00C247C3" w:rsidP="00C2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Концентрация </w:t>
      </w:r>
      <w:proofErr w:type="spellStart"/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C3C38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лабораторного критерия анемии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возраста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Концентрация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</w:t>
            </w:r>
            <w:proofErr w:type="gram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/л), менее</w:t>
            </w:r>
          </w:p>
          <w:p w:rsidR="007C3C38" w:rsidRPr="00B27EE9" w:rsidRDefault="007C3C38" w:rsidP="007C3C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диагностируется анемия</w:t>
            </w:r>
          </w:p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0-14 дней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15-28 дней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27EE9">
              <w:rPr>
                <w:rFonts w:ascii="Times New Roman" w:hAnsi="Times New Roman" w:cs="Times New Roman"/>
                <w:sz w:val="28"/>
                <w:szCs w:val="28"/>
              </w:rPr>
              <w:t xml:space="preserve"> – 5 лет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6-11 лет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7C3C38" w:rsidRPr="00B27EE9" w:rsidTr="007C3C38">
        <w:tc>
          <w:tcPr>
            <w:tcW w:w="4785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4786" w:type="dxa"/>
          </w:tcPr>
          <w:p w:rsidR="007C3C38" w:rsidRPr="00B27EE9" w:rsidRDefault="007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7C3C38" w:rsidRPr="00B27EE9" w:rsidRDefault="007C3C38">
      <w:pPr>
        <w:rPr>
          <w:rFonts w:ascii="Times New Roman" w:hAnsi="Times New Roman" w:cs="Times New Roman"/>
          <w:sz w:val="28"/>
          <w:szCs w:val="28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ЦП отражает относительное содержание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эритроцитах и рассчитывается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формуле: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(г/л)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 = ––––––––––––––––––––––––––––––––––––––––––––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RBC (3 первые цифры без запятой)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Пример: концентрация </w:t>
      </w:r>
      <w:proofErr w:type="spell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Hb</w:t>
      </w:r>
      <w:proofErr w:type="spell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112 г/л, RBC – 4,07 </w:t>
      </w:r>
      <w:proofErr w:type="spell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1012/л: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112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 = ––––––––––– = 0,83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407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соотношением между объемом плазмы и объемом форменных элементов крови, выраженном в процентах. Определение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в специальных градуированных капиллярных трубках с последующим центрифугированием или с помощью автоматических гематологических анализаторов. В норме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мужчин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40–48%, у женщин – 36–42%. Увеличение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при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полицитемии, уменьшение – при анемиях.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костном мозге из нормобластов выталкивается ядро и в </w:t>
      </w: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кую</w:t>
      </w:r>
      <w:proofErr w:type="gramEnd"/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кровь поступают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зернисто-сетчатую субстанцию на месте, где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ядро. Принцип определения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выявлении зернисто-сетчатой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субстанции после длительной окраски щелочными красителями (бриллиантовый синий, азур) клеток на стекле или в пробирке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последующим подсчетом</w:t>
      </w:r>
      <w:r w:rsidR="000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мазке или в камере Горяева. В настоящее время возможно определение количества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автоматических гематологических анализаторов.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Точным показателем оценки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(РИ),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вычисляют по формуле: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</w:t>
      </w:r>
      <w:proofErr w:type="gramEnd"/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= ––––––––––––––––––––––––––––––––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норме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</w:t>
      </w:r>
      <w:proofErr w:type="gramEnd"/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РИ равен 1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острой постгеморрагической анемии данный показа-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обычно в 2–3 раза, а при гемолизе – в 5–6 раз.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МСН – показатель, отражающий абсолютное содержание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эритроците.</w:t>
      </w:r>
    </w:p>
    <w:p w:rsidR="007C3C38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МСН определяется автоматическими гематологическими анализаторами или с помощью номограммы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также рассчитать показатель по формуле:</w:t>
      </w:r>
    </w:p>
    <w:p w:rsidR="00061DB5" w:rsidRPr="00B27EE9" w:rsidRDefault="00061DB5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(г/л)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МСН = –––––––––––––––––––––––––––––––––––––––––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RBC (3 первые цифры с запятой)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112 г/л, RBC – 4,07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1012/л: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112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МСН = ––––––––––––– = 27,5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</w:t>
      </w:r>
      <w:proofErr w:type="spellEnd"/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4,07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МСНС – показатель, отражающий степень насыщения эритроцита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Входит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обязательных показателей автоматических гематологических анализаторов. Данный показатель можно также рассчитать по формуле: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МСНС =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г/л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%)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proofErr w:type="gramEnd"/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112 г/л,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41%: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МСНС = (112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41)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= 273 г/л</w:t>
      </w: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MCV определяется по номограмме, автоматическими гематологическими анализаторами или рассчитывается по формуле: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MCV = ––––––––––––––––––––––––––––––––––––––––––––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RBC (3 первые цифры без запятой)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41%, RBC – 4,07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1012/л:</w:t>
      </w:r>
    </w:p>
    <w:p w:rsidR="00C06AC1" w:rsidRPr="00B27EE9" w:rsidRDefault="00C375C7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06AC1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MCV = –––––––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= 100,7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мкм3</w:t>
      </w:r>
    </w:p>
    <w:p w:rsidR="00C06AC1" w:rsidRPr="00B27EE9" w:rsidRDefault="00C375C7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06AC1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407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RDW – показатель степени выраженности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анизоцитоза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эритроцитов, определяется автоматическими гематологическими анализаторами. Считается, что изменени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 (повышение RDW более 14,5%) выявляются на ранней стадии ЖДС.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особенности эритроцитов при ЖДА. Морфологическими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эритроцитов при ЖДА являются: наличие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троцитов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маленького размера,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анизоцитоз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 (встречаются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циты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размера)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пойкилоцитоз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 (эритроциты имеют раз-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форму).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хорошо видно при изучении эритроцитов больного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тяжелой</w:t>
      </w:r>
      <w:proofErr w:type="gramEnd"/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 в сканирующем электронном микроскопе 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информацию можно получить при изучении мазка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периферической</w:t>
      </w:r>
      <w:proofErr w:type="gramEnd"/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крови в обычном световом микроскопе. Выявляются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(эритроциты становятся бледными, просвечивающимися)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анизоцитоз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(встречаются эритроциты разного разме</w:t>
      </w:r>
      <w:r w:rsidR="00C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с наличием </w:t>
      </w:r>
      <w:proofErr w:type="spellStart"/>
      <w:r w:rsidR="00C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микроцитов</w:t>
      </w:r>
      <w:proofErr w:type="spellEnd"/>
      <w:proofErr w:type="gramStart"/>
      <w:r w:rsidR="00C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Нормальные значения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эритроцитарных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индексов представлен</w:t>
      </w:r>
      <w:r w:rsidR="00C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табл. 4</w:t>
      </w:r>
    </w:p>
    <w:p w:rsidR="00C06AC1" w:rsidRPr="00B27EE9" w:rsidRDefault="00C247C3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="00C06AC1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Показатели, характеризующие состояние эритроцитов</w:t>
      </w:r>
    </w:p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показателя в норме</w:t>
            </w:r>
          </w:p>
        </w:tc>
        <w:tc>
          <w:tcPr>
            <w:tcW w:w="3191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Физиологическое значение</w:t>
            </w:r>
          </w:p>
        </w:tc>
      </w:tr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</w:t>
            </w:r>
          </w:p>
        </w:tc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0,85–1,05</w:t>
            </w:r>
          </w:p>
        </w:tc>
        <w:tc>
          <w:tcPr>
            <w:tcW w:w="3191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степень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насыщения эритроцита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</w:t>
            </w:r>
            <w:proofErr w:type="spellEnd"/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эритроците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МСН,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</w:t>
            </w:r>
            <w:proofErr w:type="spellEnd"/>
          </w:p>
        </w:tc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27–31</w:t>
            </w:r>
          </w:p>
        </w:tc>
        <w:tc>
          <w:tcPr>
            <w:tcW w:w="3191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Характеризует содержание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</w:t>
            </w:r>
            <w:proofErr w:type="spellEnd"/>
          </w:p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МСНС, г/л</w:t>
            </w:r>
          </w:p>
        </w:tc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320–360</w:t>
            </w:r>
          </w:p>
        </w:tc>
        <w:tc>
          <w:tcPr>
            <w:tcW w:w="3191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степень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насыщения эритроцита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</w:t>
            </w:r>
            <w:proofErr w:type="spellEnd"/>
          </w:p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МС</w:t>
            </w:r>
            <w:proofErr w:type="gram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proofErr w:type="gram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3190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6–18 мес. – 72–77. Дети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 возраста – 80–94</w:t>
            </w:r>
          </w:p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средний объем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эритроцита</w:t>
            </w:r>
          </w:p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6AC1" w:rsidRPr="00B27EE9" w:rsidTr="00C06AC1"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RDW</w:t>
            </w: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3190" w:type="dxa"/>
          </w:tcPr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более 14,5</w:t>
            </w:r>
          </w:p>
        </w:tc>
        <w:tc>
          <w:tcPr>
            <w:tcW w:w="3191" w:type="dxa"/>
          </w:tcPr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количественной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распределения</w:t>
            </w:r>
          </w:p>
          <w:p w:rsidR="00C06AC1" w:rsidRPr="00B27EE9" w:rsidRDefault="00C06AC1" w:rsidP="00C06A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эритроцитов по объему</w:t>
            </w:r>
          </w:p>
          <w:p w:rsidR="00C06AC1" w:rsidRPr="00B27EE9" w:rsidRDefault="00C06AC1" w:rsidP="00C06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6AC1" w:rsidRPr="00B27EE9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436" w:rsidRPr="00C375C7" w:rsidRDefault="00C375C7" w:rsidP="00C3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63436" w:rsidRPr="00C37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 Биохимические показатели, характеризующие состояние обмена</w:t>
      </w:r>
    </w:p>
    <w:p w:rsidR="00D63436" w:rsidRDefault="00D63436" w:rsidP="00C3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железа в организме при железодефицитных состояниях</w:t>
      </w:r>
    </w:p>
    <w:p w:rsidR="00776FE5" w:rsidRPr="00C375C7" w:rsidRDefault="00776FE5" w:rsidP="00C3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железа в организме характеризуют показатели транспортного фонда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 и показатели запасов железа.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Транспортный фонд железа определяют на основании значений следующих показателей: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СЖ;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ОЖСС;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ЛЖСС;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НТЖ.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показателем запасов железа в организме является СФ.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 – биохимический лабораторный показатель, отражающий количество не-</w:t>
      </w:r>
    </w:p>
    <w:p w:rsidR="00D63436" w:rsidRPr="00B27EE9" w:rsidRDefault="00D63436" w:rsidP="00D6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железа, находящегося в сыворотке крови.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 – железо,</w:t>
      </w:r>
    </w:p>
    <w:p w:rsidR="008548B7" w:rsidRPr="00B27EE9" w:rsidRDefault="00D63436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входящее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ТФ и СФ. Условно можно считать, что СЖ соответствует количеству железа, связанного с ТФ. СЖ определяют унифицированным методом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бетафенантролином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основе метода лежит свойство комплекса железо–ТФ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распадаться при рН 4,8–5 с освобождением двухвалентного железа. При добавлении </w:t>
      </w:r>
      <w:proofErr w:type="spellStart"/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бетафенантролина</w:t>
      </w:r>
      <w:proofErr w:type="spellEnd"/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двухвалентное железо образует с ним окрашенный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комплекс. По содержанию последнего судят о количестве железа, входившего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ТФ. При определении СЖ следует учитывать, что данный показатель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нестабильным, меняется в течение суток (биологические ритмы) и зависит от диеты ребенка.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ОЖСС – биохимический лабораторный показатель, характеризующий общее количество железа, которое может связаться с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имеющимся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плазме ТФ. Косвенно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количество ТФ в плазме.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ЛЖСС – производный показатель, отражающий математическую разность между значениями ОЖСС и СЖ: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ЛЖСС = ОЖСС – СЖ (6)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ЛЖСС также косвенно отражает количество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ТФ.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НТЖ – производный показатель, отражающий удельный вес СЖ от ОЖСС:</w:t>
      </w:r>
    </w:p>
    <w:p w:rsidR="008548B7" w:rsidRPr="00B27EE9" w:rsidRDefault="00FF579F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НТЖ = (СЖ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ОЖСС)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</w:t>
      </w:r>
      <w:proofErr w:type="gramEnd"/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снижении значения показателя ниже нормы эффективный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невозможен, что сопровождается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ретикулоцитопенией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 используется для характеристики состояния запасов железа в организме,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между ними установлена прямая взаимосвязь. Определение концентрации СФ признано «золотым стандартом» оценки запасов железа в депо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и метод широко внедрен в повседневную лабораторную практику.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СФ является белком острой фазы воспаления, имеются ограничения его диагностической значимости при воспалительных процессах в организме, инфекциях, заболеваниях печени, неопластических процессах и беременности.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железом ТФ проникает в клетку, связываясь с ТФР, расположенными на мембране клеток. Наибольшая экспрессия рецепторов отмечается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клетках-предшественниках эритроцитов. По мере созревания клетки теряют свои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рецепторы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концентрация ТФ возрастает при усилении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возрастает при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Недавно определение концентрации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в качестве диагностического теста для определения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 и состояния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Преимуществом данного показателя перед СФ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отсутствие изменений концентрации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инфекции ил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воспаления.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здоровых людей составляет 2,5–2,9 мкг/мл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мг/л. При снижении концентрации СФ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нормальных значений в прямом соответствии с ДЖ, достигая 18 мг/л при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8B7" w:rsidRPr="00B27EE9" w:rsidRDefault="008548B7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Нормальные значения показателей, характеризующих состояние обмена железа в организме в норме, а также лабораторные критерии Ж</w:t>
      </w:r>
      <w:r w:rsidR="00FF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ЛДЖ представлены в табл. 5 и 6</w:t>
      </w:r>
    </w:p>
    <w:p w:rsidR="008548B7" w:rsidRPr="00B27EE9" w:rsidRDefault="00FF579F" w:rsidP="0085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  <w:r w:rsidR="008548B7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Показатели, характеризующие обмен железа в организме в норме</w:t>
      </w:r>
    </w:p>
    <w:p w:rsidR="008548B7" w:rsidRPr="00B27EE9" w:rsidRDefault="008548B7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 в норме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Физиологическое значение</w:t>
            </w: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СЖ,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Новорожденные – 5,0–19,3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старше 1 мес. – 10,6–33,6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ВОЗ: более 12,5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количество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негемового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железа,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содержаще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гося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ОЖСС,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40,6–62,5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ВОЗ: более 69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Косвенно отражает количество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ТФ в плазме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ЛЖСС,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47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Косвенно отражает количество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ТФ в плазме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НТЖ, %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16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ВОЗ: более 17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транспортный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 железа, косвенно отражает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железа в сыворотке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крови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СФ, мкг/</w:t>
            </w:r>
            <w:proofErr w:type="gram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0–14 дней – 200–400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14–28 дней – 175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мес. – 146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мес. – 51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мес. – 37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– 30–32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– 34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– 36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ВОЗ: более 30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Характеризует запасы железа</w:t>
            </w:r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организме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8B7" w:rsidRPr="00B27EE9" w:rsidTr="008548B7"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рТФР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мг/л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2,5–2,9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Отражает состояние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эритропоэза</w:t>
            </w:r>
            <w:proofErr w:type="spellEnd"/>
          </w:p>
          <w:p w:rsidR="008548B7" w:rsidRPr="00B27EE9" w:rsidRDefault="008548B7" w:rsidP="00854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организме</w:t>
            </w:r>
          </w:p>
          <w:p w:rsidR="008548B7" w:rsidRPr="00B27EE9" w:rsidRDefault="008548B7" w:rsidP="00C06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48B7" w:rsidRPr="00B27EE9" w:rsidRDefault="008548B7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38" w:rsidRPr="00B27EE9" w:rsidRDefault="007C3C38" w:rsidP="007C3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CC4" w:rsidRPr="00B27EE9" w:rsidRDefault="00272CC4" w:rsidP="0027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диагностики ЛДЖ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изменение показателей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фонда железа (снижение СЖ и НТЖ и повышение ОЖСС и ЛЖСС) при отсутствии лабораторных признаков анемии – 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110 г/л у детей до 6 лет и не менее 120 г/л у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272CC4" w:rsidRDefault="00272CC4" w:rsidP="0027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используемое на практике в поликлинических условиях определение показателей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лейкоциты, СОЭ) не позволяет уточнить характер выявленной анемии. Для правильной диагностики анемии, уточнения причин снижения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корректной трактовки изменений необходимо выполнять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общий анализ крови. Обязательно нужно определять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эритроцитарные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индексы, количество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тромбоцитов. Различные варианты анемий характеризуются изменениями этих показателей и уже при первичном анализе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гемограммы пациента можно с довольно большой точностью предположить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характер анемии и наметить план дальнейшего диагностического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с целью установления этиологии анемического состояния.</w:t>
      </w:r>
    </w:p>
    <w:p w:rsidR="00FF579F" w:rsidRPr="00B27EE9" w:rsidRDefault="00FF579F" w:rsidP="0027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61" w:rsidRPr="00FF579F" w:rsidRDefault="00FF579F" w:rsidP="00FF5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</w:t>
      </w:r>
      <w:r w:rsidR="00272CC4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Лабораторные критерии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ЖДС у детей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6C5" w:rsidRPr="00B27EE9" w:rsidTr="001856C5">
        <w:tc>
          <w:tcPr>
            <w:tcW w:w="2392" w:type="dxa"/>
          </w:tcPr>
          <w:p w:rsidR="001856C5" w:rsidRPr="00B27EE9" w:rsidRDefault="0017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1856C5" w:rsidRPr="00B27EE9" w:rsidRDefault="0017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393" w:type="dxa"/>
          </w:tcPr>
          <w:p w:rsidR="001856C5" w:rsidRPr="00B27EE9" w:rsidRDefault="0017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ЛДЖ</w:t>
            </w:r>
          </w:p>
        </w:tc>
        <w:tc>
          <w:tcPr>
            <w:tcW w:w="2393" w:type="dxa"/>
          </w:tcPr>
          <w:p w:rsidR="001856C5" w:rsidRPr="00B27EE9" w:rsidRDefault="0017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ЖДА</w:t>
            </w:r>
          </w:p>
        </w:tc>
      </w:tr>
      <w:tr w:rsidR="001856C5" w:rsidRPr="00B27EE9" w:rsidTr="001856C5">
        <w:tc>
          <w:tcPr>
            <w:tcW w:w="2392" w:type="dxa"/>
          </w:tcPr>
          <w:p w:rsidR="00174D61" w:rsidRPr="00B27EE9" w:rsidRDefault="00174D61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г/л:</w:t>
            </w:r>
          </w:p>
          <w:p w:rsidR="001856C5" w:rsidRPr="00B27EE9" w:rsidRDefault="001856C5" w:rsidP="00174D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56C5" w:rsidRPr="00B27EE9" w:rsidRDefault="0018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56C5" w:rsidRPr="00B27EE9" w:rsidRDefault="0018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56C5" w:rsidRPr="00B27EE9" w:rsidRDefault="0018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мес. – 6 лет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110 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110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110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6–11 лет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115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115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115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 11 лет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120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120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120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0,85–1,05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0,85–1,05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0,85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МСН,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</w:t>
            </w:r>
            <w:proofErr w:type="spellEnd"/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27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МСНС, г/л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320-360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320-360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320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RDW, %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14,5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MCV,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80-94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80-94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80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СЖ,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10,6–33,6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10,6–33,6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14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ОЖСС,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40,6–62,5</w:t>
            </w: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40,6–62,5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63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ЛЖСС, </w:t>
            </w:r>
            <w:proofErr w:type="spell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F07AD7" w:rsidRPr="00B27EE9" w:rsidRDefault="00F07AD7" w:rsidP="00174D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D7" w:rsidRPr="00B27EE9" w:rsidRDefault="00F07AD7" w:rsidP="00174D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Менее 47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Менее 47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47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НТЖ, %</w:t>
            </w:r>
          </w:p>
          <w:p w:rsidR="00F07AD7" w:rsidRPr="00B27EE9" w:rsidRDefault="00F07AD7" w:rsidP="00174D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17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17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15–16</w:t>
            </w:r>
          </w:p>
        </w:tc>
      </w:tr>
      <w:tr w:rsidR="00F07AD7" w:rsidRPr="00B27EE9" w:rsidTr="001856C5">
        <w:tc>
          <w:tcPr>
            <w:tcW w:w="2392" w:type="dxa"/>
          </w:tcPr>
          <w:p w:rsidR="00F07AD7" w:rsidRPr="00B27EE9" w:rsidRDefault="00F07AD7" w:rsidP="00174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СФ, мкг/</w:t>
            </w:r>
            <w:proofErr w:type="gramStart"/>
            <w:r w:rsidRPr="00B2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AD7" w:rsidRPr="00B27EE9" w:rsidRDefault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12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Более 12</w:t>
            </w:r>
          </w:p>
        </w:tc>
        <w:tc>
          <w:tcPr>
            <w:tcW w:w="2393" w:type="dxa"/>
          </w:tcPr>
          <w:p w:rsidR="00F07AD7" w:rsidRPr="00B27EE9" w:rsidRDefault="00F07AD7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12</w:t>
            </w:r>
          </w:p>
        </w:tc>
      </w:tr>
    </w:tbl>
    <w:p w:rsidR="001856C5" w:rsidRPr="00B27EE9" w:rsidRDefault="001856C5">
      <w:pPr>
        <w:rPr>
          <w:rFonts w:ascii="Times New Roman" w:hAnsi="Times New Roman" w:cs="Times New Roman"/>
          <w:sz w:val="28"/>
          <w:szCs w:val="28"/>
        </w:rPr>
      </w:pP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и относительно мало изученным в России показателем является ЦПП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эритроцитарный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порфирин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(ЭП). Считается, что ЦПП является первым биохимическим признаком, отражающим изменения эритроцитов при снижении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FF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железа в организме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ЦПП образуется в результате замещения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цинком иона железа в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протопорфирине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последнем этапе биосинтеза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норме такие изменения в синтезе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в 1 из 30 тыс. молекул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при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нарушения синтеза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чаще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 г. A.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Lamola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T.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Yamame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флюорисценции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протопорфирина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цельной крови впервые установили, что большинство молекул ЭП является ЦПП. В 1980 г. R.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Smith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подтвердили, что ЭП обычно </w:t>
      </w: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</w:t>
      </w:r>
      <w:proofErr w:type="spellEnd"/>
      <w:proofErr w:type="gram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ЦПП (примерно 90% ЭП являются ЦПП). Измеряют ЦПП в капле цельной капиллярной крови с помощью небольшого портативного прибора –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гематофлюорометра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России прибор не зарегистрирован), который относительно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 в использовании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 готов через 1 мин.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определения составляет 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5 долларов США</w:t>
      </w:r>
      <w:proofErr w:type="gram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измеренный с помощью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гематофлюорометра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ЦПП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отражает содержание фракции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протопорфирина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крови, которая существует в виде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хелатного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цинком, а измерение ЭП отражает содержание общего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протопорфирина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результаты ЭП и ЦПП должны быть очень сходными, если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гематофлюорометр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откалиброван и 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стандартизирована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Достоинствами ЭП/ЦПП являются быстрота и простота выполнения, низкая стоимость и высокая чувствит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Полагают, что определение ЦПП может помочь в преодолении недостатков скрининга, основанного на определении концентрации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повышение ЦПП происходит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более ранних стадиях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 развития анемии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ЦПП широко используется за рубежом в качестве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 для выявления лиц с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сследование Z.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Mei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показало, что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так же чувствителен и специфичен как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выявлении ДЖ у небеременных женщин и более чувствителен и специфичен, чем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детей раннего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опыт применения ЦПП в качестве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 в России показал, что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по своей чувствительности не уступает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явлении ДЖ у подростков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недостаткам ЦПП следует отнести его повышение при отравлении свинцом,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воспалении и беременности, а также более низкую по сравнению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СФ специфичность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зарубежных исследований, нормальные значения ЦПП/ЭП находятся в пред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елах 30–80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мкмоль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/моль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Повышение показателя выше указанных значений свидетельствует 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случаях в качестве дифференциально-диагностического критерия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истинной ЖДА и анемии хронических болезней (АХБ) можно определять концентрацию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гепцидина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сыворотке крови или моче.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Гепцидин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белок, синтезируемый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гепатоцитами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ключевым регулятором гомеостаза железа.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Гепцидин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ингибирует абсорбцию железа в тонком кишечнике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высвобожде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из мак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рофагов и </w:t>
      </w:r>
      <w:proofErr w:type="spell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гепатоцитов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воспалении/инфекции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гепцидина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за счет выработки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провоспалительного</w:t>
      </w:r>
      <w:proofErr w:type="spellEnd"/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цитокина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IL-6, а при гипоксии и ЖДА, наоборот, снижается [6, 33, 37, 38], что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быстрой мобилизации железа из депо, повышению всасывания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железа в двенадцатиперстной кишке и насыщению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эритрона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количеством железа.</w:t>
      </w:r>
    </w:p>
    <w:p w:rsidR="00B27CBD" w:rsidRPr="00FF579F" w:rsidRDefault="00B27CBD" w:rsidP="00FF579F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79F" w:rsidRPr="00FF579F" w:rsidRDefault="00FF579F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9F">
        <w:rPr>
          <w:rFonts w:ascii="Times New Roman" w:hAnsi="Times New Roman" w:cs="Times New Roman"/>
          <w:b/>
          <w:sz w:val="28"/>
          <w:szCs w:val="28"/>
        </w:rPr>
        <w:t xml:space="preserve">2. Лечение </w:t>
      </w:r>
      <w:proofErr w:type="spellStart"/>
      <w:r w:rsidRPr="00FF579F">
        <w:rPr>
          <w:rFonts w:ascii="Times New Roman" w:hAnsi="Times New Roman" w:cs="Times New Roman"/>
          <w:b/>
          <w:sz w:val="28"/>
          <w:szCs w:val="28"/>
        </w:rPr>
        <w:t>железодифицитных</w:t>
      </w:r>
      <w:proofErr w:type="spellEnd"/>
      <w:r w:rsidRPr="00FF579F">
        <w:rPr>
          <w:rFonts w:ascii="Times New Roman" w:hAnsi="Times New Roman" w:cs="Times New Roman"/>
          <w:b/>
          <w:sz w:val="28"/>
          <w:szCs w:val="28"/>
        </w:rPr>
        <w:t xml:space="preserve"> состояний</w:t>
      </w:r>
    </w:p>
    <w:p w:rsidR="00B27CBD" w:rsidRDefault="00FF579F" w:rsidP="00FF5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7CBD" w:rsidRPr="00FF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 Диета при железодефицитных состояниях</w:t>
      </w:r>
    </w:p>
    <w:p w:rsidR="00FF579F" w:rsidRPr="00FF579F" w:rsidRDefault="00FF579F" w:rsidP="00FF5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полноценная и сбалансированная по основным ингредиентам диета позволяет лишь восполнить физиологическую потребность организма в железе, но не устранить его дефицит.</w:t>
      </w:r>
    </w:p>
    <w:p w:rsidR="00B27CBD" w:rsidRPr="00B27EE9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Ранее существовало мнение, что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устранить назначением большого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яблок, гречневой крупы, гранатов и других продуктов растительного происхождения, содержащих железо. В дальнейшем было показано, что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железо, содержащееся в продуктах в виде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(мясо, печень, рыба), лучше усваивается в организме, чем железо, содержащееся в продуктах растительного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происхождения.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Гемовое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 составляет 17–22% от общего содержания железа в рационе. Согласно данным исследований, проведенных в конце ХХ века,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из обычного рациона взрослого человека составляет</w:t>
      </w:r>
    </w:p>
    <w:p w:rsidR="00B27CBD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10%, а в развивающихся стран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данный показатель ниже 5%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 в существующих рекомендациях по потреблению железа указаны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превышающие физио</w:t>
      </w:r>
      <w:r w:rsidR="00FF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логическую потребность (табл.7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F579F" w:rsidRPr="00B27EE9" w:rsidRDefault="00FF579F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CBD" w:rsidRPr="00B27EE9" w:rsidRDefault="00FF579F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  <w:r w:rsidR="00B27CB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Физиологическая потребность и рекомендуемые нормы потребления железа детьми 1–2-го года жизни и беременными женщинами </w:t>
      </w:r>
    </w:p>
    <w:p w:rsidR="00B27CBD" w:rsidRPr="00B27EE9" w:rsidRDefault="00B27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Физиологическая потребность в железе, мг в сутки</w:t>
            </w:r>
          </w:p>
        </w:tc>
        <w:tc>
          <w:tcPr>
            <w:tcW w:w="3191" w:type="dxa"/>
          </w:tcPr>
          <w:p w:rsidR="00B27CBD" w:rsidRPr="00B27EE9" w:rsidRDefault="00B2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Нормы потребления железа мг/в сутки в России</w:t>
            </w:r>
          </w:p>
        </w:tc>
      </w:tr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0–3 мес.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3191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4–6 мес.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3191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7–12 мес.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3191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1–2 года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3191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B27CBD" w:rsidRPr="00B27EE9" w:rsidRDefault="00B27CBD">
      <w:pPr>
        <w:rPr>
          <w:rFonts w:ascii="Times New Roman" w:hAnsi="Times New Roman" w:cs="Times New Roman"/>
          <w:sz w:val="28"/>
          <w:szCs w:val="28"/>
        </w:rPr>
      </w:pPr>
    </w:p>
    <w:p w:rsidR="00B27CBD" w:rsidRPr="00B27EE9" w:rsidRDefault="00B27CBD" w:rsidP="00C375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современных представлений о всасывании железа из пищи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считать оправданным рекомендац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коррекции </w:t>
      </w:r>
      <w:proofErr w:type="gramStart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диеты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железа, поступающее в течение суток с пищей, составляет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10–12 мг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гемовое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только 1–1,2 мг микроэлемента</w:t>
      </w:r>
    </w:p>
    <w:p w:rsidR="00B27CBD" w:rsidRDefault="00B27CBD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этого количества абсорбируется. Большая часть поступающего с пищей железа представлена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формой. Установлено, что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в пищевых продуктах более высокая, чем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негемовых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соединений, и составляет 25–30%. В табл. 19 и 20 представлено содержание железа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продуктах животного и растительного происхождения.</w:t>
      </w:r>
    </w:p>
    <w:p w:rsidR="00FF579F" w:rsidRPr="00B27EE9" w:rsidRDefault="00FF579F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CBD" w:rsidRPr="00B27EE9" w:rsidRDefault="00FF579F" w:rsidP="00B27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8</w:t>
      </w:r>
      <w:r w:rsidR="00B27CBD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железа в продуктах животного происхождения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7CBD" w:rsidRPr="00B27EE9" w:rsidTr="00B27CBD"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3190" w:type="dxa"/>
          </w:tcPr>
          <w:p w:rsidR="00B27CBD" w:rsidRPr="00B27EE9" w:rsidRDefault="00B27CBD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железа, мг в 100 г продукта</w:t>
            </w:r>
          </w:p>
        </w:tc>
        <w:tc>
          <w:tcPr>
            <w:tcW w:w="3191" w:type="dxa"/>
          </w:tcPr>
          <w:p w:rsidR="00B27CBD" w:rsidRPr="00B27EE9" w:rsidRDefault="00AD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Основные железосодержащие соединения</w:t>
            </w:r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Печень говяжья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гемосидерин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говяжий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 кролика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 индейки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Мясо курицы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Конина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Скумбрия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гемосидерин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Сазан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гемосидерин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гемосидерин</w:t>
            </w:r>
            <w:proofErr w:type="spellEnd"/>
          </w:p>
        </w:tc>
      </w:tr>
      <w:tr w:rsidR="00AD6F7F" w:rsidRPr="00B27EE9" w:rsidTr="00B27CBD">
        <w:tc>
          <w:tcPr>
            <w:tcW w:w="3190" w:type="dxa"/>
          </w:tcPr>
          <w:p w:rsidR="00AD6F7F" w:rsidRPr="00B27EE9" w:rsidRDefault="00AD6F7F" w:rsidP="00B27C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Хек/треска</w:t>
            </w:r>
          </w:p>
        </w:tc>
        <w:tc>
          <w:tcPr>
            <w:tcW w:w="3190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гемосидерин</w:t>
            </w:r>
            <w:proofErr w:type="spellEnd"/>
          </w:p>
        </w:tc>
      </w:tr>
    </w:tbl>
    <w:p w:rsidR="00B27CBD" w:rsidRPr="00B27EE9" w:rsidRDefault="00B27CBD">
      <w:pPr>
        <w:rPr>
          <w:rFonts w:ascii="Times New Roman" w:hAnsi="Times New Roman" w:cs="Times New Roman"/>
          <w:sz w:val="28"/>
          <w:szCs w:val="28"/>
        </w:rPr>
      </w:pPr>
    </w:p>
    <w:p w:rsidR="00AD6F7F" w:rsidRDefault="00AD6F7F" w:rsidP="00FF5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</w:t>
      </w:r>
      <w:r w:rsidR="00FF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9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железа в продуктах растительного происхождения</w:t>
      </w:r>
    </w:p>
    <w:p w:rsidR="00FF579F" w:rsidRPr="00FF579F" w:rsidRDefault="00FF579F" w:rsidP="00FF5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железа, мг на 100 г продукта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Морская капуста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Шиповник свежий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Гречка ядрица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Геркулес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Толокно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Пшено крупа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Кукуруза крупа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Орехи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2,3–5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бородинский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формовой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рижский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Батон нарезной (мука высшего сорта, мука 1-го сорта)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Чечевица:</w:t>
            </w:r>
          </w:p>
        </w:tc>
        <w:tc>
          <w:tcPr>
            <w:tcW w:w="4786" w:type="dxa"/>
          </w:tcPr>
          <w:p w:rsidR="00AD6F7F" w:rsidRPr="00B27EE9" w:rsidRDefault="00AD6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1,2–2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проростки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6,9–7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Соя зерно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 зерно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Шпинат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Щавель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Петрушка зелень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Укроп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цветная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брюссельская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Инжир свежий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Хурма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Груша свежая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 свежее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Алыча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Облепиха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Смородина черная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Земляника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Малина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AD6F7F" w:rsidRPr="00B27EE9" w:rsidTr="00AD6F7F">
        <w:tc>
          <w:tcPr>
            <w:tcW w:w="4785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Гранаты</w:t>
            </w:r>
          </w:p>
        </w:tc>
        <w:tc>
          <w:tcPr>
            <w:tcW w:w="4786" w:type="dxa"/>
          </w:tcPr>
          <w:p w:rsidR="00AD6F7F" w:rsidRPr="00B27EE9" w:rsidRDefault="00AD6F7F" w:rsidP="009949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</w:tbl>
    <w:p w:rsidR="00AD6F7F" w:rsidRPr="00B27EE9" w:rsidRDefault="00AD6F7F">
      <w:pPr>
        <w:rPr>
          <w:rFonts w:ascii="Times New Roman" w:hAnsi="Times New Roman" w:cs="Times New Roman"/>
          <w:sz w:val="28"/>
          <w:szCs w:val="28"/>
        </w:rPr>
      </w:pP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из злаковых, бобовых, клубневых, овощей и фруктов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ниже, чем из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гемовых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 и во многом зависит от преобладания в рационе факторов, ингибирующих либо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потенциирующих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всасывание</w:t>
      </w:r>
      <w:r w:rsidR="00C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 в кишечнике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веществам, способствующим всасыванию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в кишечнике,</w:t>
      </w:r>
    </w:p>
    <w:p w:rsidR="004F5A76" w:rsidRPr="00B27EE9" w:rsidRDefault="00050957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r w:rsidR="004F5A76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аскорбиновую кислоту;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животный белок (красное мясо, мясо птицы, рыбы);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молочную кислоту.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Аскорбиновая кислота значительно увеличивает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железа, переводя его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трехвалентного в двухвалентное состояние, что обеспечивает его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растворимость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влияния животного белка на всасываемость железа до настоящего времени не ясен и называется “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meat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(фактор мяса).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Кисломолочные продукты также оказывают положительное влияние на абсорбцию железа за счет окисления элемента и уменьшения формирования нераств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оримых комплексов с </w:t>
      </w:r>
      <w:proofErr w:type="spellStart"/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фитатами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веществам, снижающим всасывание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негемового</w:t>
      </w:r>
      <w:proofErr w:type="spellEnd"/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в кишечнике, относят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соевый протеин;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фитаты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кальций;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пищевые волокна (образуется соединение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инозитола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фосфатами, снижаю-</w:t>
      </w:r>
      <w:proofErr w:type="gramEnd"/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абсорбцию железа);</w:t>
      </w:r>
      <w:proofErr w:type="gramEnd"/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полифенолы, содержащиеся в бобах, орехах, чае, кофе и некоторых овощах.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Фитаты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полифенолы относят к основным ингибиторам абсорбции железа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ЖКТ.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Фитаты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депо фосфатов и минералов, содержащихся в зерновых, овощах, орехах. Присутствуя в рационе даже в небольшом количестве, они способны значительно угнетать абсорбцию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кишечнике, образуя с ним нерастворимые соединения. Кулинарная обработка пищи (измельчение и подогревание) способствует уменьшению содержания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продуктах растительного происхождения, что позволяет улучшить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усвояемость железа. Снизить содержание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фитатов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бобовых и злаковых продуктах можно при их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вымачивании или проращивании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Полифенолы содержатся практически во всех продуктах растительного происхождения. Их содержание довольно высоко в чае, кофе, какао,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некоторых овощах, бобовых. В частности, в чае содержится танин, который способен снижать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всасывание железа на 62%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различных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нутриентов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всасывание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максимально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совместном употреблении различных продуктов, что определяет необходимость правильного планирования рациона питания детей первых 3 лет жизни.</w:t>
      </w:r>
    </w:p>
    <w:p w:rsidR="004F5A76" w:rsidRPr="00B27EE9" w:rsidRDefault="004F5A76" w:rsidP="004F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потребности ребенка раннего возраста в железе в рацион</w:t>
      </w:r>
    </w:p>
    <w:p w:rsidR="000E541D" w:rsidRPr="00B27EE9" w:rsidRDefault="000E541D" w:rsidP="000E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ежедневно следует включать мясные продукты, как источники хорошо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усвояемого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железа. С целью улучшения всасывания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негемового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из продуктов питания растительного происхождения необходимо соблюдать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правила их обработки и особое внимание уделять комбинации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продуктов в составе блюд ежедневного рациона. Однако при домашнем приготовлении пищи часто бывает трудно соблюсти все условия, обеспечивающие оптимальное сохранение железа. Возможной альтернативой в этом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может быть использование в питании детей раннего возраста продуктов прикорма промышленного производства, обогащенных микроэлементом, но они относительно дороги.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Коровье и козье молоко в питании детей первого года жизни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железа в коровьем молоке составляет 0,3 мг/л, а его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10%.</w:t>
      </w:r>
    </w:p>
    <w:p w:rsidR="000E541D" w:rsidRPr="00B27EE9" w:rsidRDefault="000E541D" w:rsidP="000E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показали, что использование неадаптированных продуктов (коровьего молока и кефира) в питании детей раннего возраста приводит к возникновению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микродиапедезных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желудочно-кишечных кровотечений, что является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 риска развития ЖДС у детей первого года жизни, находящихся на та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вскармливании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широкое использование цельного коровьего молока в питании детей первого года жизни может приводить к развитию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метаболических нарушений, пищевой аллергии и избыточной массы тела.</w:t>
      </w:r>
    </w:p>
    <w:p w:rsidR="000E541D" w:rsidRPr="00B27EE9" w:rsidRDefault="000E541D" w:rsidP="000E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зарубежных исследователей, цельное коровье молоко можно вводить в рацион питания детей старше 12 мес. Согласно современным рекомендациям отечественных и зарубежных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нутрициологов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цельное коровье молоко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детей грудного возраста можно использовать только для приготовления каш. Оптимальным сроком введения неадаптированных молочных продуктов, в первую очередь коровьего молока, в рацион питания детей раннего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является 12 мес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41D" w:rsidRPr="00B27EE9" w:rsidRDefault="000E541D" w:rsidP="000E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Козье молоко, применяемое в питании детей с непереносимостью белков коровьего молока, имеет более 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нем содержится больше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 (100 мкг в 100 мл), чем в коровьем молоке (67 мкг в 100 мл), но в 5 раз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фолиевой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кислоты. Длительное применение козьего молока может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причиной ЖДА и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фолиеводефицитной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мегалобластной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анемии. С учетом низкого содержания витаминов</w:t>
      </w:r>
      <w:proofErr w:type="gram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В12,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фолиевой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и недостаточного сод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ержания железа в состав смесей,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приготовленных на основе козьего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молока, вк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лючены эти важные </w:t>
      </w:r>
      <w:proofErr w:type="spellStart"/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нутриенты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DAD" w:rsidRPr="00B27EE9" w:rsidRDefault="00F77DAD">
      <w:pPr>
        <w:rPr>
          <w:rFonts w:ascii="Times New Roman" w:hAnsi="Times New Roman" w:cs="Times New Roman"/>
          <w:sz w:val="28"/>
          <w:szCs w:val="28"/>
        </w:rPr>
      </w:pPr>
    </w:p>
    <w:p w:rsidR="00F77DAD" w:rsidRDefault="00FF579F" w:rsidP="0005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</w:t>
      </w:r>
      <w:r w:rsidR="00F77DAD" w:rsidRPr="00050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Современные препараты</w:t>
      </w:r>
      <w:r w:rsidR="00050957" w:rsidRPr="00050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DAD" w:rsidRPr="00050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 лечения железодефицитной</w:t>
      </w:r>
      <w:r w:rsidR="00050957" w:rsidRPr="00050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DAD" w:rsidRPr="00050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анемии</w:t>
      </w:r>
    </w:p>
    <w:p w:rsidR="00050957" w:rsidRPr="00050957" w:rsidRDefault="00050957" w:rsidP="0005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DAD" w:rsidRPr="00050957" w:rsidRDefault="00F77DAD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разработано и выпускается достаточно большое количеств </w:t>
      </w:r>
      <w:proofErr w:type="gram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 железа для лечения ЖДС. Возникла даже попытка их классифици</w:t>
      </w:r>
      <w:r w:rsidR="00FF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ровать. На рис. 1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рабочая группировка препаратов железа.</w:t>
      </w:r>
    </w:p>
    <w:p w:rsidR="00F77DAD" w:rsidRPr="00B27EE9" w:rsidRDefault="009E0414">
      <w:pPr>
        <w:rPr>
          <w:rFonts w:ascii="Times New Roman" w:hAnsi="Times New Roman" w:cs="Times New Roman"/>
          <w:sz w:val="28"/>
          <w:szCs w:val="28"/>
        </w:rPr>
      </w:pPr>
      <w:r w:rsidRPr="00B27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11981"/>
            <wp:effectExtent l="19050" t="0" r="3175" b="0"/>
            <wp:docPr id="1" name="Рисунок 1" descr="https://sun1-29.userapi.com/dHT6TVC5XawR3XAwrntOV1YUbKCTizHTbashVQ/CFcdh_j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9.userapi.com/dHT6TVC5XawR3XAwrntOV1YUbKCTizHTbashVQ/CFcdh_jVI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14" w:rsidRPr="009E0414" w:rsidRDefault="00642B25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</w:t>
      </w:r>
      <w:r w:rsidR="009E0414"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группировка препаратов железа для лечения ЖДА.</w:t>
      </w:r>
    </w:p>
    <w:p w:rsidR="00050957" w:rsidRDefault="00050957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препарата необходимо учитывать основные характеристики солевых препаратов железа и препаратов желе</w:t>
      </w:r>
      <w:r w:rsid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(III) на основе ГПК (табл. 10</w:t>
      </w: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0414" w:rsidRPr="00642B25" w:rsidRDefault="00642B25" w:rsidP="0064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10</w:t>
      </w:r>
      <w:r w:rsidR="009E0414"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характеристики солевых препаратов железа и препаратов железа (III) на основе ГПК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Солевые препараты железа</w:t>
            </w:r>
          </w:p>
        </w:tc>
        <w:tc>
          <w:tcPr>
            <w:tcW w:w="3191" w:type="dxa"/>
          </w:tcPr>
          <w:p w:rsidR="009E0414" w:rsidRPr="009E0414" w:rsidRDefault="009E0414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Препараты железа</w:t>
            </w:r>
          </w:p>
          <w:p w:rsidR="009E0414" w:rsidRPr="009E0414" w:rsidRDefault="009E0414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ГПК</w:t>
            </w:r>
          </w:p>
          <w:p w:rsidR="009E0414" w:rsidRPr="00B27EE9" w:rsidRDefault="009E0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Валентность железа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Двухвалентные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Трехвалентные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всасывания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Пассивная диффузия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абсорбция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пищи и других лекарственных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Влияет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влияет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 на всасывание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Быстрая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Медленная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всасывания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Присутствует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Оксидативный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стресс (Fe2+</w:t>
            </w:r>
            <w:proofErr w:type="gramEnd"/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Быстрый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Длительность лечения, после которой регистрируется прирост концентрации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Hb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Нежелательные явления </w:t>
            </w: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 стороны ЖКТ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Часто</w:t>
            </w:r>
          </w:p>
        </w:tc>
        <w:tc>
          <w:tcPr>
            <w:tcW w:w="3191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Редко</w:t>
            </w:r>
          </w:p>
        </w:tc>
      </w:tr>
    </w:tbl>
    <w:p w:rsidR="009E0414" w:rsidRPr="00B27EE9" w:rsidRDefault="009E0414">
      <w:pPr>
        <w:rPr>
          <w:rFonts w:ascii="Times New Roman" w:hAnsi="Times New Roman" w:cs="Times New Roman"/>
          <w:sz w:val="28"/>
          <w:szCs w:val="28"/>
        </w:rPr>
      </w:pP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Парентеральные (внутривенные, внутримышечные) препараты железа показаны: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тяжелых формах ЖДА (менее 3% больных);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 неэффективности или непереносимости </w:t>
      </w:r>
      <w:proofErr w:type="spell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пероральных</w:t>
      </w:r>
      <w:proofErr w:type="spell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железа;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наличии язвенной болезни желудка и/или двенадцатиперстной кишки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операций на ЖКТ, даже в анамнезе;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резекции желудка, тонкой кишки;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неспецифическом язвенном колите, болезни Крона;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синдроме нарушенного всасывания;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необходимости быстрого насыщения организма железом.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парентеральными препаратами железа должно быть безопасным. Для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следует: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применять парентеральные преп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араты железа только при наличии </w:t>
      </w: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показаний;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применять тест-дозу, если это указано в инструкции к препарату;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использовать современные препараты железа (табл. 27), выбирая из них препараты с меньшей токсичностью, без </w:t>
      </w:r>
      <w:proofErr w:type="spell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анафилактоидных</w:t>
      </w:r>
      <w:proofErr w:type="spell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реакций, опасных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больного;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превышать общий </w:t>
      </w:r>
      <w:proofErr w:type="gram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организме, рассчитанный по формуле;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превышать НТЖ;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прекратить терапию после восполнения общего </w:t>
      </w:r>
      <w:proofErr w:type="gram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избежание опасного перенасыщения организма железом. По этим же соображениям желательно проводить терапию парентеральными препаратами железа под</w:t>
      </w:r>
      <w:r w:rsidR="0005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НТЖ;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технику проведения внутримышечной инъекции и внутривенной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инфузии</w:t>
      </w:r>
      <w:proofErr w:type="spell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железа;</w:t>
      </w:r>
    </w:p>
    <w:p w:rsidR="009E0414" w:rsidRPr="009E0414" w:rsidRDefault="009E0414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проводить лечение в диапазоне безопасных доз, так как нежелательные явления парентеральных препаратов железа являются </w:t>
      </w:r>
      <w:proofErr w:type="spellStart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дозозависимыми</w:t>
      </w:r>
      <w:proofErr w:type="spellEnd"/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414" w:rsidRPr="009E0414" w:rsidRDefault="00DF29F6" w:rsidP="009E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11</w:t>
      </w:r>
      <w:proofErr w:type="gramStart"/>
      <w:r w:rsidR="009E0414"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9E0414"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екоторые современные препараты железа для парентерального</w:t>
      </w:r>
    </w:p>
    <w:p w:rsidR="000E541D" w:rsidRPr="00DF29F6" w:rsidRDefault="009E0414" w:rsidP="00DF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препарата</w:t>
            </w:r>
          </w:p>
        </w:tc>
        <w:tc>
          <w:tcPr>
            <w:tcW w:w="3190" w:type="dxa"/>
          </w:tcPr>
          <w:p w:rsidR="009E0414" w:rsidRPr="00B27EE9" w:rsidRDefault="009E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Состав препарата</w:t>
            </w:r>
          </w:p>
        </w:tc>
        <w:tc>
          <w:tcPr>
            <w:tcW w:w="3191" w:type="dxa"/>
          </w:tcPr>
          <w:p w:rsidR="009E0414" w:rsidRPr="009E0414" w:rsidRDefault="009E0414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9E0414" w:rsidRPr="009E0414" w:rsidRDefault="009E0414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препарата в ампуле</w:t>
            </w:r>
          </w:p>
          <w:p w:rsidR="009E0414" w:rsidRPr="00B27EE9" w:rsidRDefault="009E0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14" w:rsidRPr="00B27EE9" w:rsidTr="009E0414"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внутримышечного введения:</w:t>
            </w:r>
          </w:p>
        </w:tc>
        <w:tc>
          <w:tcPr>
            <w:tcW w:w="3190" w:type="dxa"/>
          </w:tcPr>
          <w:p w:rsidR="009E0414" w:rsidRPr="00B27EE9" w:rsidRDefault="009E0414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0414" w:rsidRPr="00B27EE9" w:rsidRDefault="009E0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Жектофер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Железа (III)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сорбитол-цитрат</w:t>
            </w:r>
            <w:proofErr w:type="spellEnd"/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КосмоФер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Железа (III)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гидроксид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декстран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Мальтофер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раствор </w:t>
            </w: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инъекций</w:t>
            </w:r>
          </w:p>
        </w:tc>
        <w:tc>
          <w:tcPr>
            <w:tcW w:w="3190" w:type="dxa"/>
          </w:tcPr>
          <w:p w:rsidR="00122DF6" w:rsidRPr="00115754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Гидроксид</w:t>
            </w:r>
            <w:proofErr w:type="spellEnd"/>
            <w:r w:rsidRPr="00115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железа (III)</w:t>
            </w:r>
          </w:p>
          <w:p w:rsidR="00122DF6" w:rsidRPr="00115754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</w:t>
            </w:r>
            <w:proofErr w:type="spellStart"/>
            <w:r w:rsidRPr="00115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полимальтозой</w:t>
            </w:r>
            <w:proofErr w:type="spellEnd"/>
          </w:p>
          <w:p w:rsidR="00122DF6" w:rsidRPr="00B27EE9" w:rsidRDefault="00122DF6" w:rsidP="00122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Спейсферрон</w:t>
            </w:r>
            <w:proofErr w:type="spellEnd"/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Водный раствор</w:t>
            </w:r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низкомолекулярного декстрана</w:t>
            </w:r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микроэлементами – железом</w:t>
            </w:r>
          </w:p>
          <w:p w:rsidR="00050957" w:rsidRPr="00050957" w:rsidRDefault="00122DF6" w:rsidP="00050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кобальто</w:t>
            </w:r>
            <w:r w:rsidR="0005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5 мл</w:t>
            </w:r>
          </w:p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Фербитол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Железа (III)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сорбитол</w:t>
            </w:r>
            <w:proofErr w:type="spellEnd"/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Феркайл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Железа (III) декстран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Ферростат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Железа (III)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гидроксид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сорбитоловый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9E0414" w:rsidRDefault="00122DF6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Феррум</w:t>
            </w:r>
            <w:proofErr w:type="spellEnd"/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 – раствор</w:t>
            </w:r>
          </w:p>
          <w:p w:rsidR="00122DF6" w:rsidRPr="009E0414" w:rsidRDefault="00122DF6" w:rsidP="009E0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инъекций</w:t>
            </w:r>
          </w:p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железа (III)</w:t>
            </w:r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полиизомальтозой</w:t>
            </w:r>
            <w:proofErr w:type="spellEnd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водном</w:t>
            </w:r>
          </w:p>
          <w:p w:rsidR="00122DF6" w:rsidRPr="00050957" w:rsidRDefault="00122DF6" w:rsidP="00050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изотоническом </w:t>
            </w:r>
            <w:proofErr w:type="gram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растворе</w:t>
            </w:r>
            <w:proofErr w:type="gramEnd"/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внутривенного введения:</w:t>
            </w:r>
          </w:p>
        </w:tc>
        <w:tc>
          <w:tcPr>
            <w:tcW w:w="3190" w:type="dxa"/>
          </w:tcPr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Аргеферр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Железа (III) </w:t>
            </w: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</w:t>
            </w:r>
            <w:proofErr w:type="spellEnd"/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сахарозный комплекс</w:t>
            </w:r>
          </w:p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 мг в 5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Венофер†</w:t>
            </w:r>
            <w:proofErr w:type="spellEnd"/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Железа (III) </w:t>
            </w: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</w:t>
            </w:r>
            <w:proofErr w:type="spellEnd"/>
          </w:p>
          <w:p w:rsidR="00122DF6" w:rsidRPr="00050957" w:rsidRDefault="00122DF6" w:rsidP="00050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сахарозный комплекс</w:t>
            </w:r>
          </w:p>
        </w:tc>
        <w:tc>
          <w:tcPr>
            <w:tcW w:w="3191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мг в 5 мл</w:t>
            </w:r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мг в 2 мл</w:t>
            </w:r>
          </w:p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КосмоФер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Железа (III) </w:t>
            </w: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декстран</w:t>
            </w:r>
          </w:p>
          <w:p w:rsidR="00122DF6" w:rsidRPr="00050957" w:rsidRDefault="00122DF6" w:rsidP="00050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(низкомолекулярный)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2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Ликферр</w:t>
            </w:r>
            <w:proofErr w:type="spellEnd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</w:t>
            </w:r>
          </w:p>
        </w:tc>
        <w:tc>
          <w:tcPr>
            <w:tcW w:w="3190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Железа (III) </w:t>
            </w:r>
            <w:proofErr w:type="spellStart"/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</w:t>
            </w:r>
            <w:proofErr w:type="spellEnd"/>
          </w:p>
          <w:p w:rsidR="00122DF6" w:rsidRPr="00050957" w:rsidRDefault="00122DF6" w:rsidP="00050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сахарозный комплекс</w:t>
            </w:r>
          </w:p>
        </w:tc>
        <w:tc>
          <w:tcPr>
            <w:tcW w:w="3191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мг в 5 мл</w:t>
            </w:r>
          </w:p>
        </w:tc>
      </w:tr>
      <w:tr w:rsidR="00122DF6" w:rsidRPr="00B27EE9" w:rsidTr="009E0414">
        <w:tc>
          <w:tcPr>
            <w:tcW w:w="3190" w:type="dxa"/>
          </w:tcPr>
          <w:p w:rsidR="00122DF6" w:rsidRPr="00B27EE9" w:rsidRDefault="00122DF6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Феринжект‡</w:t>
            </w:r>
            <w:proofErr w:type="spellEnd"/>
          </w:p>
        </w:tc>
        <w:tc>
          <w:tcPr>
            <w:tcW w:w="3190" w:type="dxa"/>
          </w:tcPr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Железа (III) </w:t>
            </w: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карбоксимальтозат</w:t>
            </w:r>
            <w:proofErr w:type="spellEnd"/>
          </w:p>
        </w:tc>
        <w:tc>
          <w:tcPr>
            <w:tcW w:w="3191" w:type="dxa"/>
          </w:tcPr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мг в 10 мл</w:t>
            </w:r>
          </w:p>
          <w:p w:rsidR="00122DF6" w:rsidRPr="00122DF6" w:rsidRDefault="00122DF6" w:rsidP="00122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мг в 2 мл</w:t>
            </w:r>
          </w:p>
          <w:p w:rsidR="00122DF6" w:rsidRPr="00B27EE9" w:rsidRDefault="0012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Противопоказан или назначается с осторожностью детям до 18 лет в связи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недостаточностью данных об эффективности и безопасности.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† У детей с 3-летнего возраста не более 3 мг/кг массы тела.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‡ Противопоказан детям до 14 лет.</w:t>
      </w:r>
    </w:p>
    <w:p w:rsidR="00767315" w:rsidRDefault="00767315" w:rsidP="005518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нежелательные явления при использовании парентеральных препаратов железа. </w:t>
      </w:r>
      <w:proofErr w:type="gramStart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способа введения (внутривенный и внутримышечный) могут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различные нежелательные явления – местные (покраснение, жжение,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зуд) и общие (аллергические, </w:t>
      </w:r>
      <w:proofErr w:type="spellStart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анафилактоидные</w:t>
      </w:r>
      <w:proofErr w:type="spellEnd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реакции).</w:t>
      </w:r>
      <w:proofErr w:type="gramEnd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 для парентеральных препаратов железа, содержащих декстран. Для сведения к минимуму вероятности развития нежелательных явлений необходимо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тщательно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наблюдать за больным, применять тест-дозу перед началом лечения, точно рассчитывать количество железа, которое следует ввести, во избежание повреждающего действия его повышенной концентрации в циркуляции.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в виду возможность возникновения нежелательных явлений, обусловленных гиперчувствительностью пациента к препаратам железа,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вводимым даже в очень низких дозах.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терапии следует обязательно определить статус транспортного фонда железа (СЖ, ОЖСС, ЛЖСС, НТЖ) и СФ.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Парентеральные препараты лучше вводить с интервалом 1–2 дня.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Нежелательные явления при использовании </w:t>
      </w:r>
      <w:proofErr w:type="spellStart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пероральных</w:t>
      </w:r>
      <w:proofErr w:type="spellEnd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железа</w:t>
      </w:r>
    </w:p>
    <w:p w:rsidR="005518EA" w:rsidRPr="005518EA" w:rsidRDefault="005518EA" w:rsidP="005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лечении ЖДА в основном </w:t>
      </w:r>
      <w:proofErr w:type="gramStart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превышением рекомендуемых доз и чаще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нетяжелыми диспепсическими явлениями. Нежелательные явления, которые могут развиться при лечении препаратами железа, суммированы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12</w:t>
      </w:r>
    </w:p>
    <w:p w:rsidR="005518EA" w:rsidRPr="00B27EE9" w:rsidRDefault="005518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Нежелательное явление</w:t>
            </w:r>
          </w:p>
        </w:tc>
        <w:tc>
          <w:tcPr>
            <w:tcW w:w="3190" w:type="dxa"/>
          </w:tcPr>
          <w:p w:rsidR="005518EA" w:rsidRPr="00B27EE9" w:rsidRDefault="0055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Способ введения парентеральный</w:t>
            </w:r>
          </w:p>
        </w:tc>
        <w:tc>
          <w:tcPr>
            <w:tcW w:w="3191" w:type="dxa"/>
          </w:tcPr>
          <w:p w:rsidR="005518EA" w:rsidRPr="00B27EE9" w:rsidRDefault="0055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</w:t>
            </w:r>
            <w:proofErr w:type="spellStart"/>
            <w:r w:rsidRPr="00B27EE9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Лихорадка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Кожный зуд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Гиперемия кожи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Аритмия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Гематурия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Аллергический дерматит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Анафилактический шок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Абсцесс в месте введения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Тошнота, рвота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аппетита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Диарея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Боли в поясничной области</w:t>
            </w:r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518EA" w:rsidRPr="00B27EE9" w:rsidTr="005518EA"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Гемосидероз</w:t>
            </w:r>
            <w:proofErr w:type="spellEnd"/>
          </w:p>
        </w:tc>
        <w:tc>
          <w:tcPr>
            <w:tcW w:w="3190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5518EA" w:rsidRPr="00B27EE9" w:rsidRDefault="005518EA" w:rsidP="00C375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5518EA" w:rsidRPr="00B27EE9" w:rsidRDefault="005518EA">
      <w:pPr>
        <w:rPr>
          <w:rFonts w:ascii="Times New Roman" w:hAnsi="Times New Roman" w:cs="Times New Roman"/>
          <w:sz w:val="28"/>
          <w:szCs w:val="28"/>
        </w:rPr>
      </w:pPr>
    </w:p>
    <w:p w:rsidR="00223CBF" w:rsidRDefault="00223CBF" w:rsidP="0022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Существующий риск развития серьезных местных и системных нежелательных явлений при использовании парентеральных препаратов железа заставляет еще раз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 что их следует применять только строго по специальным показаниям.</w:t>
      </w:r>
    </w:p>
    <w:p w:rsidR="00050957" w:rsidRDefault="00050957" w:rsidP="0022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957" w:rsidRPr="00767315" w:rsidRDefault="00DF29F6" w:rsidP="00767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50957"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50957"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эффективности лечения железодефицитной анемии</w:t>
      </w:r>
    </w:p>
    <w:p w:rsidR="00050957" w:rsidRDefault="00050957" w:rsidP="00767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препаратами железа</w:t>
      </w:r>
    </w:p>
    <w:p w:rsidR="00DF29F6" w:rsidRPr="00767315" w:rsidRDefault="00DF29F6" w:rsidP="00767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эффективности лечения препаратами железа являются: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ретикулоцитарная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реакция: на 7–10-й день от начала лечения препаратами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железа количество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(обычно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2–3%) по сравнению с таковым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лечения;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к концу 4-й недели лечения препаратами железа концентрации</w:t>
      </w:r>
    </w:p>
    <w:p w:rsidR="00050957" w:rsidRPr="00F77DAD" w:rsidRDefault="00767315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 г/л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3%</w:t>
      </w:r>
      <w:r w:rsidR="00050957"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исчезновение клинических проявлений заболе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через 1–1,5 мес. от нача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лечения препаратами железа;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преодоление </w:t>
      </w:r>
      <w:proofErr w:type="gram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тканевой</w:t>
      </w:r>
      <w:proofErr w:type="gram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сидеропении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восполнение железа в депо через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3–6 мес. от начала лечения (в зависимости от степени тяжести анемии), что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контролируется по нормализации концентрации СФ.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выше критерии эффективнос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лечения не выполняются и ле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оказывается неуспешным, следует еще раз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пересмотреть следующие по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зиции: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правильность постановки диагноза ЖДА;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адекватность дозировки препарата железа;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длительность лечения ЖДА;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выполняемость курса лечения ЖДА родителями пациента;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выяснить, нет ли у больного проблем с всасываемостью;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переносимость пациентом назначенного препарата железа.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диагноз ЖДА поставлен правильно, т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ответ на солевые препараты же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 или препараты железа (III) на основе ГПК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обязательно. Если отсут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ствует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ретикулоцитарная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реакция, являющаяся ранним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ответом на лечение,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наблюдается повышения концентрации 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 г/л и 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3% к концу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недели лечения, то следует прекратить лече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 пересмотреть диагноз, так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анемия, скорее всего, не является железод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ефицитной [1]. Следует уточнить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дозировки препарата железа, не является ли доза заниженной.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ошибок родителей, а иногда и врачей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отмена препарата же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 после достижения у пациента нормаль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концентрации 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Излечением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ЖДА считается восполнение запасов железа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депо и устранение тканевой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сидеропении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 свидетельствует нормализ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концентрации СФ, а не нор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мализация концентрации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насту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пает значительно раньше. Важным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моментом является выполнимость курса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лечения ЖДА у больного. Лечение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 родителями пациента в домашних усл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овиях не позволяет быть уверен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 выполнении всех рекомендаций врача,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выполнимость курса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(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имеет принципиальное з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начение. Следует уточнить пере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носимость пациентом назначенного препарата желез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наличие таких нежела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явлений, как боли в желудке, тошнота,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рвота, запоры, поносы, в связи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больной может самостоятельно п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рекратить прием препарата желе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за. У части больных могут быть проблемы с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всасываемостью препаратов желе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за. В таких случаях иногда приходится проводить смену препарата железа.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называемая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рефрактерность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 к лечен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препаратами железа чаще все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обусловлена неадекватностью назначенной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 или анемией, не связан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 </w:t>
      </w:r>
      <w:proofErr w:type="gram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957" w:rsidRPr="00F77DAD" w:rsidRDefault="00050957" w:rsidP="0005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Наконец, если все указанные моменты учтены и выяснены, то при отсутствии</w:t>
      </w:r>
    </w:p>
    <w:p w:rsidR="000E541D" w:rsidRDefault="00050957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эффекта от терапии препаратами железа 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подумать </w:t>
      </w:r>
      <w:proofErr w:type="gram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опи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санной в литературе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железорефрактерной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 (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iron-refractory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iron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deficiency</w:t>
      </w:r>
      <w:proofErr w:type="spellEnd"/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anemia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IRIDA) [2, 3]. IRIDA – это заболевание, наследуемое по аутос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омно-ре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цессивному типу, описаны семейные случаи. Из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вестно, что лечение этой разно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видности ЖДА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пероральными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неэффективно, частичный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может быть получен в результате л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парентеральными препара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железа. Причиной IRIDA является мутац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гене ТМРRSS6. В результате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повышается концентрация </w:t>
      </w:r>
      <w:proofErr w:type="spellStart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гепцидина</w:t>
      </w:r>
      <w:proofErr w:type="spellEnd"/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ингибирует всасывание железа 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кишечнике и высвобождение железа из макр</w:t>
      </w:r>
      <w:r w:rsidR="007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офагов. Частотные характеристи</w:t>
      </w:r>
      <w:r w:rsidRPr="00F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IRIDA пока не известны, методы эффективной терапии не разработаны.</w:t>
      </w:r>
    </w:p>
    <w:p w:rsidR="00767315" w:rsidRPr="00767315" w:rsidRDefault="00767315" w:rsidP="00767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943" w:rsidRPr="00767315" w:rsidRDefault="009E7943" w:rsidP="0076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7943" w:rsidRPr="00767315" w:rsidRDefault="009E7943" w:rsidP="009E7943">
      <w:pPr>
        <w:pStyle w:val="a3"/>
        <w:shd w:val="clear" w:color="auto" w:fill="FFFFFF"/>
        <w:spacing w:before="150" w:beforeAutospacing="0" w:after="225" w:afterAutospacing="0"/>
        <w:rPr>
          <w:color w:val="000000" w:themeColor="text1"/>
          <w:sz w:val="28"/>
          <w:szCs w:val="28"/>
        </w:rPr>
      </w:pPr>
      <w:r w:rsidRPr="00767315">
        <w:rPr>
          <w:color w:val="000000" w:themeColor="text1"/>
          <w:sz w:val="28"/>
          <w:szCs w:val="28"/>
        </w:rPr>
        <w:t>ЖДА до настоящего времени остаётся одной из актуальных проблем медицинской науки и практического здравоохранения вследствие широкого распространения и неблагоприятного воздействия на организм человека.</w:t>
      </w:r>
    </w:p>
    <w:p w:rsidR="009E7943" w:rsidRPr="00767315" w:rsidRDefault="009E7943" w:rsidP="009E7943">
      <w:pPr>
        <w:pStyle w:val="a3"/>
        <w:shd w:val="clear" w:color="auto" w:fill="FFFFFF"/>
        <w:spacing w:before="150" w:beforeAutospacing="0" w:after="225" w:afterAutospacing="0"/>
        <w:rPr>
          <w:color w:val="000000" w:themeColor="text1"/>
          <w:sz w:val="28"/>
          <w:szCs w:val="28"/>
        </w:rPr>
      </w:pPr>
      <w:r w:rsidRPr="00767315">
        <w:rPr>
          <w:color w:val="000000" w:themeColor="text1"/>
          <w:sz w:val="28"/>
          <w:szCs w:val="28"/>
        </w:rPr>
        <w:t xml:space="preserve">Увеличивающийся рост </w:t>
      </w:r>
      <w:proofErr w:type="gramStart"/>
      <w:r w:rsidRPr="00767315">
        <w:rPr>
          <w:color w:val="000000" w:themeColor="text1"/>
          <w:sz w:val="28"/>
          <w:szCs w:val="28"/>
        </w:rPr>
        <w:t>анемий</w:t>
      </w:r>
      <w:proofErr w:type="gramEnd"/>
      <w:r w:rsidRPr="00767315">
        <w:rPr>
          <w:color w:val="000000" w:themeColor="text1"/>
          <w:sz w:val="28"/>
          <w:szCs w:val="28"/>
        </w:rPr>
        <w:t xml:space="preserve"> вероятно обусловлен неблагоприятными социально-биологическими, экономическими, экологическими факторами, которые влияют на здоровье. Во всех случаях железодефицитной анемии необходимо установить непосредственную причину возникновения данного состояния и по возможности ликвидировать ее (чаще всего устранить источник кровопотери или провести терапию основного заболевания, осложнившегося </w:t>
      </w:r>
      <w:proofErr w:type="spellStart"/>
      <w:r w:rsidRPr="00767315">
        <w:rPr>
          <w:color w:val="000000" w:themeColor="text1"/>
          <w:sz w:val="28"/>
          <w:szCs w:val="28"/>
        </w:rPr>
        <w:t>сидеропенией</w:t>
      </w:r>
      <w:proofErr w:type="spellEnd"/>
      <w:r w:rsidRPr="00767315">
        <w:rPr>
          <w:color w:val="000000" w:themeColor="text1"/>
          <w:sz w:val="28"/>
          <w:szCs w:val="28"/>
        </w:rPr>
        <w:t>).</w:t>
      </w:r>
    </w:p>
    <w:p w:rsidR="000E541D" w:rsidRDefault="009E7943" w:rsidP="00DF29F6">
      <w:pPr>
        <w:pStyle w:val="a3"/>
        <w:shd w:val="clear" w:color="auto" w:fill="FFFFFF"/>
        <w:spacing w:before="150" w:beforeAutospacing="0" w:after="225" w:afterAutospacing="0"/>
        <w:rPr>
          <w:color w:val="000000" w:themeColor="text1"/>
          <w:sz w:val="28"/>
          <w:szCs w:val="28"/>
        </w:rPr>
      </w:pPr>
      <w:r w:rsidRPr="00767315">
        <w:rPr>
          <w:color w:val="000000" w:themeColor="text1"/>
          <w:sz w:val="28"/>
          <w:szCs w:val="28"/>
        </w:rPr>
        <w:t>Лечение железодефицитной анемии основано на приеме больным препаратов железа. Предпочтение отдают лекарственным средствам для приема внутрь перед внутривенным или внутримышечным их введением.</w:t>
      </w:r>
    </w:p>
    <w:p w:rsidR="00DF29F6" w:rsidRPr="00767315" w:rsidRDefault="00DF29F6" w:rsidP="00DF29F6">
      <w:pPr>
        <w:pStyle w:val="a3"/>
        <w:shd w:val="clear" w:color="auto" w:fill="FFFFFF"/>
        <w:spacing w:before="150" w:beforeAutospacing="0" w:after="225" w:afterAutospacing="0"/>
        <w:rPr>
          <w:color w:val="000000" w:themeColor="text1"/>
          <w:sz w:val="28"/>
          <w:szCs w:val="28"/>
        </w:rPr>
      </w:pPr>
    </w:p>
    <w:p w:rsidR="000E541D" w:rsidRPr="00DF29F6" w:rsidRDefault="00767315" w:rsidP="00DF29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9E7943" w:rsidRPr="00B27EE9" w:rsidRDefault="006F3D09" w:rsidP="009E79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и лечение железодефицитной анемии у детей и подростков </w:t>
      </w:r>
      <w:r w:rsidR="009E7943"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(пособие для врачей) / Под ред. акад. РАН, проф. А.Г. Румянцева и проф. И.Н. Захаровой. – М., 2015.– 76 с.</w:t>
      </w:r>
    </w:p>
    <w:p w:rsidR="000E541D" w:rsidRPr="00B27EE9" w:rsidRDefault="000E541D" w:rsidP="000E54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Идельсон</w:t>
      </w:r>
      <w:proofErr w:type="spell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 Гипохромные анемии. М.: Медицина; 1981 – 192 </w:t>
      </w:r>
      <w:proofErr w:type="gram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541D" w:rsidRPr="00B27EE9" w:rsidRDefault="000E541D" w:rsidP="000E541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физиологических потребностей в энергии и пищевых веществах для различных групп населения Российской Федерации. Методические рекомендации МР 2.3.1.2432 от 18 декабря 2008 г. утверждены главным государственным санитарным врачом Российской Федерации Г.Г. Онищенко. Режим доступа: http://narod.ru/disk/37395018001/Normy2008.pdf.html.</w:t>
      </w:r>
    </w:p>
    <w:p w:rsidR="000E541D" w:rsidRPr="00B27EE9" w:rsidRDefault="000E541D" w:rsidP="000E541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Скурихин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И.М.,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Тутельян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Таблицы химического состава и калорийности российских пищевых продуктов питания: Справочник. М.: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2007 – 276 с.</w:t>
      </w:r>
    </w:p>
    <w:p w:rsidR="00F77DAD" w:rsidRPr="00B27EE9" w:rsidRDefault="00F77DAD" w:rsidP="00F77D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 В.М., Тарасова И.С. Какой препарат следует выбрать при лечении железодефицитной анемии у детей – солевой или на основе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полимальтозного</w:t>
      </w:r>
      <w:proofErr w:type="spellEnd"/>
      <w:r w:rsidRPr="00B2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железа. Педиатрия. Журнал им. Г.Н. Сперанского. 2012; 91 (5): 90–96.</w:t>
      </w:r>
    </w:p>
    <w:p w:rsidR="00DF29F6" w:rsidRPr="00DF29F6" w:rsidRDefault="00F77DAD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Монография по препарату </w:t>
      </w:r>
      <w:proofErr w:type="spell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Мальтофер</w:t>
      </w:r>
      <w:proofErr w:type="spell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3-е изд. М.: </w:t>
      </w:r>
      <w:proofErr w:type="spell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МегаПро</w:t>
      </w:r>
      <w:proofErr w:type="spell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2001 – 96 </w:t>
      </w:r>
      <w:proofErr w:type="gramStart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2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7DAD" w:rsidRPr="00DF29F6" w:rsidRDefault="009E7943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Окороков А. Н. Диагностика болезней внутренних органов. – Москва: Мед. Лит</w:t>
      </w:r>
      <w:proofErr w:type="gramStart"/>
      <w:r w:rsidRPr="00DF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gramEnd"/>
      <w:r w:rsidRPr="00DF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2001;</w:t>
      </w:r>
    </w:p>
    <w:p w:rsidR="009E7943" w:rsidRPr="00DF29F6" w:rsidRDefault="009E7943" w:rsidP="009E79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Тарасова И.С., </w:t>
      </w:r>
      <w:proofErr w:type="spellStart"/>
      <w:r w:rsidRPr="00DF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Пудриков</w:t>
      </w:r>
      <w:proofErr w:type="spellEnd"/>
      <w:r w:rsidRPr="00DF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К.А., Чернов В.М. Оптимизация лечения железодефицитной анемии у детей и подростков. Поликлиника. 2014; 2 (1): 56–60.</w:t>
      </w:r>
    </w:p>
    <w:p w:rsidR="00DF29F6" w:rsidRPr="00DF29F6" w:rsidRDefault="009E7943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Уиллоуби</w:t>
      </w:r>
      <w:proofErr w:type="spellEnd"/>
      <w:r w:rsidRPr="00DF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Детская гематология. Пер. с англ. М.: Медицина; 1981 – 672 </w:t>
      </w:r>
      <w:proofErr w:type="spellStart"/>
      <w:proofErr w:type="gramStart"/>
      <w:r w:rsidRPr="00DF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F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End"/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Зюбина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 Л. Ю. Патогенез, клиника, диагностика и лечение висцеральных поражений при железодефицитных состояниях: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. … д-ра мед</w:t>
      </w:r>
      <w:proofErr w:type="gram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аук. Новосибирск; 2000</w:t>
      </w:r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Дворецкий Л. И. Алгоритмы диагностики и лечения анемий. Рус. Мед</w:t>
      </w:r>
      <w:proofErr w:type="gram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урнал 2003; 11 (8): 427−33.</w:t>
      </w:r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Подзолкова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Н. М., Нестерова А. А., Назарова С. В., Шевелева Т. В. Железодефицитная анемия беременных. Рус. Мед. Журнал 2003; 11(5): 326−31.</w:t>
      </w:r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Луговская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С. А., Морозова В. Т., </w:t>
      </w:r>
      <w:proofErr w:type="gram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Почтарь</w:t>
      </w:r>
      <w:proofErr w:type="gram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М. Е., Долгов В. В. Лабораторная гематология. М.: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Юнимед-пресс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клинических лабораторных исследований под ред. В. В. Меньшикова, том 1,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Лабора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DF29F6" w:rsidRPr="00DF29F6" w:rsidRDefault="00DF29F6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Назаренко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Г. И., </w:t>
      </w:r>
      <w:proofErr w:type="spellStart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>Кишкун</w:t>
      </w:r>
      <w:proofErr w:type="spellEnd"/>
      <w:r w:rsidR="009E7943"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А. А. «Клиническая оценка результатов лабораторных исследований. М.: Медицина, 2002.</w:t>
      </w:r>
    </w:p>
    <w:p w:rsidR="009E7943" w:rsidRPr="00DF29F6" w:rsidRDefault="009E7943" w:rsidP="00DF2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29F6">
        <w:rPr>
          <w:rFonts w:ascii="Times New Roman" w:hAnsi="Times New Roman" w:cs="Times New Roman"/>
          <w:color w:val="000000"/>
          <w:sz w:val="28"/>
          <w:szCs w:val="28"/>
        </w:rPr>
        <w:t>Шиффман</w:t>
      </w:r>
      <w:proofErr w:type="spellEnd"/>
      <w:r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 Ф. Д. Патофизиология крови. </w:t>
      </w:r>
      <w:proofErr w:type="spellStart"/>
      <w:r w:rsidRPr="00DF29F6">
        <w:rPr>
          <w:rFonts w:ascii="Times New Roman" w:hAnsi="Times New Roman" w:cs="Times New Roman"/>
          <w:color w:val="000000"/>
          <w:sz w:val="28"/>
          <w:szCs w:val="28"/>
        </w:rPr>
        <w:t>М.-С-пб</w:t>
      </w:r>
      <w:proofErr w:type="spellEnd"/>
      <w:r w:rsidRPr="00DF29F6">
        <w:rPr>
          <w:rFonts w:ascii="Times New Roman" w:hAnsi="Times New Roman" w:cs="Times New Roman"/>
          <w:color w:val="000000"/>
          <w:sz w:val="28"/>
          <w:szCs w:val="28"/>
        </w:rPr>
        <w:t xml:space="preserve">.: «Издательство БИНОМ» </w:t>
      </w:r>
      <w:proofErr w:type="gramStart"/>
      <w:r w:rsidRPr="00DF29F6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DF29F6">
        <w:rPr>
          <w:rFonts w:ascii="Times New Roman" w:hAnsi="Times New Roman" w:cs="Times New Roman"/>
          <w:color w:val="000000"/>
          <w:sz w:val="28"/>
          <w:szCs w:val="28"/>
        </w:rPr>
        <w:t>Невский Диалект», 2000.</w:t>
      </w:r>
    </w:p>
    <w:p w:rsidR="009E7943" w:rsidRDefault="009E7943" w:rsidP="00B27EE9">
      <w:pPr>
        <w:ind w:left="360"/>
      </w:pPr>
    </w:p>
    <w:sectPr w:rsidR="009E7943" w:rsidSect="00E2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5C92"/>
    <w:multiLevelType w:val="hybridMultilevel"/>
    <w:tmpl w:val="2578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19D"/>
    <w:rsid w:val="000209F9"/>
    <w:rsid w:val="00030BAA"/>
    <w:rsid w:val="00050957"/>
    <w:rsid w:val="00061DB5"/>
    <w:rsid w:val="000E541D"/>
    <w:rsid w:val="00115754"/>
    <w:rsid w:val="00122DF6"/>
    <w:rsid w:val="0013536E"/>
    <w:rsid w:val="00174D61"/>
    <w:rsid w:val="001856C5"/>
    <w:rsid w:val="001858A0"/>
    <w:rsid w:val="00223CBF"/>
    <w:rsid w:val="00272CC4"/>
    <w:rsid w:val="002D3AAD"/>
    <w:rsid w:val="004F5A76"/>
    <w:rsid w:val="005518EA"/>
    <w:rsid w:val="005B3F10"/>
    <w:rsid w:val="00642B25"/>
    <w:rsid w:val="006F3D09"/>
    <w:rsid w:val="00726F3D"/>
    <w:rsid w:val="00736213"/>
    <w:rsid w:val="007650D4"/>
    <w:rsid w:val="00767315"/>
    <w:rsid w:val="00776FE5"/>
    <w:rsid w:val="0079119D"/>
    <w:rsid w:val="007C014A"/>
    <w:rsid w:val="007C3C38"/>
    <w:rsid w:val="00815EAB"/>
    <w:rsid w:val="008548B7"/>
    <w:rsid w:val="008B7459"/>
    <w:rsid w:val="00955445"/>
    <w:rsid w:val="009949C1"/>
    <w:rsid w:val="009E0414"/>
    <w:rsid w:val="009E7943"/>
    <w:rsid w:val="00AD6F7F"/>
    <w:rsid w:val="00B27CBD"/>
    <w:rsid w:val="00B27EE9"/>
    <w:rsid w:val="00C06AC1"/>
    <w:rsid w:val="00C247C3"/>
    <w:rsid w:val="00C375C7"/>
    <w:rsid w:val="00D63436"/>
    <w:rsid w:val="00DF29F6"/>
    <w:rsid w:val="00E203B7"/>
    <w:rsid w:val="00F07AD7"/>
    <w:rsid w:val="00F77DAD"/>
    <w:rsid w:val="00FF579F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541D"/>
    <w:pPr>
      <w:ind w:left="720"/>
      <w:contextualSpacing/>
    </w:pPr>
  </w:style>
  <w:style w:type="paragraph" w:customStyle="1" w:styleId="txt">
    <w:name w:val="txt"/>
    <w:basedOn w:val="a"/>
    <w:rsid w:val="000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4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7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30</cp:revision>
  <dcterms:created xsi:type="dcterms:W3CDTF">2020-05-24T14:56:00Z</dcterms:created>
  <dcterms:modified xsi:type="dcterms:W3CDTF">2020-05-24T19:09:00Z</dcterms:modified>
</cp:coreProperties>
</file>