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FC" w:rsidRPr="00C658DB" w:rsidRDefault="00AB60DB" w:rsidP="002F31E6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center"/>
        <w:textAlignment w:val="baseline"/>
        <w:rPr>
          <w:b/>
        </w:rPr>
      </w:pPr>
      <w:r w:rsidRPr="00C658DB">
        <w:rPr>
          <w:b/>
        </w:rPr>
        <w:t>«Маркетинговый анализ ассортимента противовоспалительных препаратов фармацевтического рынка»</w:t>
      </w:r>
      <w:bookmarkStart w:id="0" w:name="_GoBack"/>
      <w:bookmarkEnd w:id="0"/>
    </w:p>
    <w:p w:rsidR="00AB60DB" w:rsidRPr="00C658DB" w:rsidRDefault="00AB60DB" w:rsidP="002F31E6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center"/>
        <w:textAlignment w:val="baseline"/>
      </w:pPr>
      <w:proofErr w:type="spellStart"/>
      <w:r w:rsidRPr="00C658DB">
        <w:t>Зурнаджъянц</w:t>
      </w:r>
      <w:proofErr w:type="spellEnd"/>
      <w:r w:rsidRPr="00C658DB">
        <w:t xml:space="preserve"> Ю.А.,</w:t>
      </w:r>
    </w:p>
    <w:p w:rsidR="00C658DB" w:rsidRDefault="00C658DB" w:rsidP="002F31E6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(ФГБОУ ВО Астраханский государственный медицинский университет Минздрава России)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6A8">
        <w:rPr>
          <w:rFonts w:ascii="Times New Roman" w:hAnsi="Times New Roman" w:cs="Times New Roman"/>
          <w:b/>
          <w:sz w:val="24"/>
          <w:szCs w:val="24"/>
        </w:rPr>
        <w:t>Аннотация: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1E6" w:rsidRPr="00AD2E86">
        <w:rPr>
          <w:rFonts w:ascii="Times New Roman" w:hAnsi="Times New Roman" w:cs="Times New Roman"/>
          <w:sz w:val="24"/>
          <w:szCs w:val="24"/>
        </w:rPr>
        <w:t>настоящая работа посвящена маркетинговому анализу НПВП на фармацевтическом рынке города Астрахань. В ней мы рассмотрели предпочтения покупателей в ценовом диапазоне, производстве, широте действия, периоды наибольшего и наименьшего спроса на препараты изучаемой группы</w:t>
      </w:r>
      <w:r w:rsidR="00AD2E86" w:rsidRPr="00AD2E86">
        <w:rPr>
          <w:rFonts w:ascii="Times New Roman" w:hAnsi="Times New Roman" w:cs="Times New Roman"/>
          <w:sz w:val="24"/>
          <w:szCs w:val="24"/>
        </w:rPr>
        <w:t>.</w:t>
      </w:r>
      <w:r w:rsidR="00AD2E86">
        <w:rPr>
          <w:rFonts w:ascii="Times New Roman" w:hAnsi="Times New Roman" w:cs="Times New Roman"/>
          <w:sz w:val="24"/>
          <w:szCs w:val="24"/>
        </w:rPr>
        <w:t xml:space="preserve"> Маркетинговый анализ будет полезен фармацевтическим предприятиям при планировании своей дальнейшей работы, а также изучении спроса на свой «товар».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Ключевые слова: </w:t>
      </w:r>
      <w:r w:rsidRPr="006326A8">
        <w:rPr>
          <w:rFonts w:ascii="Times New Roman" w:hAnsi="Times New Roman" w:cs="Times New Roman"/>
          <w:sz w:val="24"/>
          <w:szCs w:val="24"/>
        </w:rPr>
        <w:t>маркетинговый анализ, НПВП, ЖНВЛП, спрос.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исследования: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26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Провести анализ литературы, посвященной данной теме;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определение и рассмотреть основные признаки маркетингового анализа;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-дать определение и рассмотреть особенности препаратов, входящих в группу НПВП;</w:t>
      </w:r>
    </w:p>
    <w:p w:rsidR="006326A8" w:rsidRDefault="006326A8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8BE">
        <w:rPr>
          <w:rFonts w:ascii="Times New Roman" w:hAnsi="Times New Roman" w:cs="Times New Roman"/>
          <w:sz w:val="24"/>
          <w:szCs w:val="24"/>
        </w:rPr>
        <w:t>путем анкетирования покупателей и опроса фармацевтов провести маркетинговый анализ фармацевтического</w:t>
      </w:r>
      <w:r w:rsidR="002F31E6">
        <w:rPr>
          <w:rFonts w:ascii="Times New Roman" w:hAnsi="Times New Roman" w:cs="Times New Roman"/>
          <w:sz w:val="24"/>
          <w:szCs w:val="24"/>
        </w:rPr>
        <w:t xml:space="preserve"> рынка НПВП;</w:t>
      </w:r>
    </w:p>
    <w:p w:rsidR="002F31E6" w:rsidRDefault="002F31E6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основании проведенного анализа, сделать выводы</w:t>
      </w:r>
    </w:p>
    <w:p w:rsidR="002F31E6" w:rsidRDefault="002F31E6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1E6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2F31E6">
        <w:rPr>
          <w:rFonts w:ascii="Times New Roman" w:hAnsi="Times New Roman" w:cs="Times New Roman"/>
          <w:sz w:val="24"/>
          <w:szCs w:val="24"/>
        </w:rPr>
        <w:t>при написании работы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31E6">
        <w:rPr>
          <w:rFonts w:ascii="Times New Roman" w:hAnsi="Times New Roman" w:cs="Times New Roman"/>
          <w:sz w:val="24"/>
          <w:szCs w:val="24"/>
        </w:rPr>
        <w:t xml:space="preserve"> мы использова</w:t>
      </w:r>
      <w:r>
        <w:rPr>
          <w:rFonts w:ascii="Times New Roman" w:hAnsi="Times New Roman" w:cs="Times New Roman"/>
          <w:sz w:val="24"/>
          <w:szCs w:val="24"/>
        </w:rPr>
        <w:t xml:space="preserve">ли различные литературные источники, посвященные изучаемой теме, а также результаты анкетирования, проведенного нами среди покупателей аптечной сети «Шах»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г.Астрахань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результаты опроса фармацевтов из вышеупомянутой аптечной сети, а также документацию о продажах аптеки.</w:t>
      </w:r>
    </w:p>
    <w:p w:rsidR="002F31E6" w:rsidRPr="002F31E6" w:rsidRDefault="002F31E6" w:rsidP="002F31E6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Методы: </w:t>
      </w:r>
      <w:r>
        <w:rPr>
          <w:rFonts w:ascii="Times New Roman" w:hAnsi="Times New Roman" w:cs="Times New Roman"/>
          <w:sz w:val="24"/>
          <w:szCs w:val="24"/>
        </w:rPr>
        <w:t>нами использованы следующие методы- статистический анализ, систематический обзор литературы, опрос, сравнительный анализ.</w:t>
      </w:r>
    </w:p>
    <w:p w:rsidR="002F31E6" w:rsidRPr="006326A8" w:rsidRDefault="002F31E6" w:rsidP="006326A8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2CCF" w:rsidRPr="00C658DB" w:rsidRDefault="002F31E6" w:rsidP="00C658D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</w:pPr>
      <w:r w:rsidRPr="002F31E6">
        <w:rPr>
          <w:b/>
        </w:rPr>
        <w:t>Введение.</w:t>
      </w:r>
      <w:r>
        <w:t xml:space="preserve"> </w:t>
      </w:r>
      <w:r w:rsidR="00982870">
        <w:t>Н</w:t>
      </w:r>
      <w:r w:rsidR="00572CCF" w:rsidRPr="00C658DB">
        <w:t xml:space="preserve">естероидные противовоспалительные препараты </w:t>
      </w:r>
      <w:r w:rsidR="00982870">
        <w:t>входят в список лекарственных средств, на которые приходится наибольший спрос среди покупателей</w:t>
      </w:r>
      <w:proofErr w:type="gramStart"/>
      <w:r w:rsidR="00982870">
        <w:t>.</w:t>
      </w:r>
      <w:proofErr w:type="gramEnd"/>
      <w:r w:rsidR="00982870">
        <w:t xml:space="preserve"> На наш взгляд, это может быть связано с тем, что они имеют большую область применения и используются при таких состояниях, </w:t>
      </w:r>
      <w:r w:rsidR="00572CCF" w:rsidRPr="00C658DB">
        <w:t>как </w:t>
      </w:r>
      <w:hyperlink r:id="rId5" w:history="1">
        <w:r w:rsidR="00572CCF" w:rsidRPr="00C658DB">
          <w:rPr>
            <w:rStyle w:val="a4"/>
            <w:color w:val="auto"/>
            <w:u w:val="none"/>
            <w:bdr w:val="none" w:sz="0" w:space="0" w:color="auto" w:frame="1"/>
          </w:rPr>
          <w:t>артрит</w:t>
        </w:r>
      </w:hyperlink>
      <w:r w:rsidR="00572CCF" w:rsidRPr="00C658DB">
        <w:t>, боли в </w:t>
      </w:r>
      <w:hyperlink r:id="rId6" w:tooltip="Symptome bei Rückenschmerzen" w:history="1">
        <w:r w:rsidR="00572CCF" w:rsidRPr="00C658DB">
          <w:rPr>
            <w:rStyle w:val="a4"/>
            <w:color w:val="auto"/>
            <w:u w:val="none"/>
            <w:bdr w:val="none" w:sz="0" w:space="0" w:color="auto" w:frame="1"/>
          </w:rPr>
          <w:t>спине</w:t>
        </w:r>
      </w:hyperlink>
      <w:r w:rsidR="00572CCF" w:rsidRPr="00C658DB">
        <w:t>, </w:t>
      </w:r>
      <w:hyperlink r:id="rId7" w:tooltip="Nackenschmerzen" w:history="1">
        <w:r w:rsidR="00572CCF" w:rsidRPr="00C658DB">
          <w:rPr>
            <w:rStyle w:val="a4"/>
            <w:color w:val="auto"/>
            <w:u w:val="none"/>
            <w:bdr w:val="none" w:sz="0" w:space="0" w:color="auto" w:frame="1"/>
          </w:rPr>
          <w:t>шее</w:t>
        </w:r>
      </w:hyperlink>
      <w:r w:rsidR="00572CCF" w:rsidRPr="00C658DB">
        <w:t>, зубн</w:t>
      </w:r>
      <w:r w:rsidR="00982870">
        <w:t>ой боли, менструальной боли</w:t>
      </w:r>
      <w:r w:rsidR="00572CCF" w:rsidRPr="00C658DB">
        <w:t xml:space="preserve"> и т.д.</w:t>
      </w:r>
    </w:p>
    <w:p w:rsidR="006652EA" w:rsidRPr="00C658DB" w:rsidRDefault="00572CCF" w:rsidP="00C658D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</w:pPr>
      <w:r w:rsidRPr="00C658DB">
        <w:t>НПВП не являются чистыми обезболивающими, но также борются с </w:t>
      </w:r>
      <w:hyperlink r:id="rId8" w:history="1">
        <w:r w:rsidRPr="00C658DB">
          <w:rPr>
            <w:rStyle w:val="a4"/>
            <w:color w:val="auto"/>
            <w:u w:val="none"/>
            <w:bdr w:val="none" w:sz="0" w:space="0" w:color="auto" w:frame="1"/>
          </w:rPr>
          <w:t>воспалением</w:t>
        </w:r>
      </w:hyperlink>
      <w:r w:rsidRPr="00C658DB">
        <w:t> и лихорадкой.</w:t>
      </w:r>
    </w:p>
    <w:p w:rsidR="00C658DB" w:rsidRDefault="006652EA" w:rsidP="00C658D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</w:pPr>
      <w:r w:rsidRPr="00C658DB">
        <w:t>Кроме того, уменьшают</w:t>
      </w:r>
      <w:r w:rsidR="00572CCF" w:rsidRPr="00C658DB">
        <w:t xml:space="preserve"> свертывающ</w:t>
      </w:r>
      <w:r w:rsidRPr="00C658DB">
        <w:t>ую</w:t>
      </w:r>
      <w:r w:rsidR="00572CCF" w:rsidRPr="00C658DB">
        <w:t xml:space="preserve"> способность крови, что может быть выгодно в некоторых </w:t>
      </w:r>
      <w:r w:rsidR="00C658DB">
        <w:t>случаях, но невыгодно в других.</w:t>
      </w:r>
    </w:p>
    <w:p w:rsidR="00572CCF" w:rsidRPr="00C658DB" w:rsidRDefault="00572CCF" w:rsidP="00C658D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textAlignment w:val="baseline"/>
      </w:pPr>
      <w:r w:rsidRPr="00C658DB">
        <w:lastRenderedPageBreak/>
        <w:t>Некоторые НПВП, такие как аспирин, могут оказывать защитное действие при заболеваниях сердца, поскольку они снижают </w:t>
      </w:r>
      <w:hyperlink r:id="rId9" w:history="1">
        <w:r w:rsidRPr="00C658DB">
          <w:rPr>
            <w:rStyle w:val="a4"/>
            <w:color w:val="auto"/>
            <w:u w:val="none"/>
            <w:bdr w:val="none" w:sz="0" w:space="0" w:color="auto" w:frame="1"/>
          </w:rPr>
          <w:t>свертываемость</w:t>
        </w:r>
      </w:hyperlink>
      <w:r w:rsidRPr="00C658DB">
        <w:t> крови.</w:t>
      </w:r>
    </w:p>
    <w:p w:rsid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НПВП оказывают противовоспалительное, обезболива</w:t>
      </w:r>
      <w:r w:rsidR="006652EA"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ющее и жаропонижающее действие.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подавляют собственные ферменты организма, которые способствуют выработке простагландинов, химических веществ, отве</w:t>
      </w:r>
      <w:r w:rsidR="006652EA"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тственных за боль и воспаление.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Старые противовоспалительные препараты, такие как ибупрофен, ингибируют два из этих ферментов: ЦОГ-1 и ЦОГ-2, в то время как 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целекоксиб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Целебрекс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селективным ингибитором ЦОГ-2.</w:t>
      </w:r>
    </w:p>
    <w:p w:rsidR="002F2DE1" w:rsidRP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НПВП в основном использ</w:t>
      </w:r>
      <w:r w:rsidR="0098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уются для борьбы с воспалением, жаром и болью. Среди этой группы средств есть препараты для кратковременной терапии, такие как </w:t>
      </w:r>
      <w:proofErr w:type="spellStart"/>
      <w:r w:rsidR="00982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="0098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препараты для длительной терапии в маленьких дозировках, </w:t>
      </w:r>
      <w:proofErr w:type="spellStart"/>
      <w:r w:rsidR="009828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напрмер</w:t>
      </w:r>
      <w:proofErr w:type="spellEnd"/>
      <w:r w:rsidR="00982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ацетилсалициловая кислота как антиагрегант для профилактики </w:t>
      </w:r>
      <w:hyperlink r:id="rId10" w:history="1">
        <w:r w:rsidR="00CB06C0" w:rsidRPr="00C658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сердечных приступов</w:t>
        </w:r>
      </w:hyperlink>
      <w:r w:rsidR="00CB06C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инсультов у пациентов из группы высокого риска.</w:t>
      </w:r>
    </w:p>
    <w:p w:rsidR="002F2DE1" w:rsidRP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Нестероидные противовоспалительные препараты различаются по своей силе, продолжительности действия, способу выведения из организма, их способности ингибировать ЦОГ-1 и склонности вызывать язвы и </w:t>
      </w:r>
      <w:r w:rsid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кровотечения.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больше лекарственное средство ингибирует фермент ЦОГ-1, тем больше вероятность развития язвенной болезни и кровотечения.</w:t>
      </w:r>
    </w:p>
    <w:p w:rsidR="002F2DE1" w:rsidRP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НПВП, активный ингредиент 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целекоксиб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Целебрекс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ингибирует фермент ЦОГ-2, но оказывает незначительное влияние на ЦОГ-1 и, таким образом, классифицируется как </w:t>
      </w:r>
      <w:r w:rsid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селективный ингибитор ЦОГ-2.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Селективные ингибиторы ЦОГ-2 вызывают меньше </w:t>
      </w:r>
      <w:hyperlink r:id="rId11" w:history="1">
        <w:r w:rsidRPr="00C658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кровотечений</w:t>
        </w:r>
      </w:hyperlink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язв, чем другие НПВП.</w:t>
      </w:r>
    </w:p>
    <w:p w:rsidR="002F2DE1" w:rsidRP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Аспирин уникален в группе НПВП не только из-за своей универсальности, но и потому, что это единственное средство, которое ингибирует свертывание крови на более длительный п</w:t>
      </w:r>
      <w:r w:rsid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ериод времени (от 4 до 7 дней).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длительный эффект делает его идеальным препаратом для предотвращения образования тромбов, которые могут вызывать </w:t>
      </w:r>
      <w:hyperlink r:id="rId12" w:history="1">
        <w:r w:rsidRPr="00C658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сердечные приступы</w:t>
        </w:r>
      </w:hyperlink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3" w:history="1">
        <w:r w:rsidRPr="00C658DB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инсульты</w:t>
        </w:r>
      </w:hyperlink>
      <w:r w:rsid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НПВП предотвращают свертывание крови на несколько часов.</w:t>
      </w:r>
    </w:p>
    <w:p w:rsidR="002F2DE1" w:rsidRP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Торадол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) является очень сильным средством и используется при очень сильной, острой боли, которую также можно лечить с помощью анестетиков.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Кеторолак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язву желудка чаще, чем другие нестероидные противовоспалительные препараты. Вот почему его назначают не д</w:t>
      </w:r>
      <w:r w:rsidR="006652EA"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ольше, чем на пять дней. </w:t>
      </w: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НПВП обладают сходным механизмом действия, пациенты могут не реагировать на одно конкретное средство, но могут испытывать выраженный эффект от другого.</w:t>
      </w:r>
    </w:p>
    <w:p w:rsidR="002F2DE1" w:rsidRPr="00C658DB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Список нестероидных противовоспалительных препаратов длинный, обычно используются следующие:</w:t>
      </w:r>
    </w:p>
    <w:p w:rsidR="002F2DE1" w:rsidRPr="00C658DB" w:rsidRDefault="002F2DE1" w:rsidP="00C658DB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ибупрофен (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Долормин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F2DE1" w:rsidRPr="00C658DB" w:rsidRDefault="002F2DE1" w:rsidP="00C658DB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напроксен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(Алев и др.),</w:t>
      </w:r>
    </w:p>
    <w:p w:rsidR="002F2DE1" w:rsidRPr="00C658DB" w:rsidRDefault="002F2DE1" w:rsidP="00C658DB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кетопрофен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alrheum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F2DE1" w:rsidRPr="00C658DB" w:rsidRDefault="002F2DE1" w:rsidP="00C658DB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диклофенак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Вольтарен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2F2DE1" w:rsidRPr="00C658DB" w:rsidRDefault="002F2DE1" w:rsidP="00C658DB">
      <w:pPr>
        <w:numPr>
          <w:ilvl w:val="0"/>
          <w:numId w:val="1"/>
        </w:num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Нимесулид</w:t>
      </w:r>
      <w:proofErr w:type="spellEnd"/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2DE1" w:rsidRDefault="002F2DE1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Парацетамол не относится к группе нестероидных противовоспалительных </w:t>
      </w:r>
      <w:r w:rsidR="00E95278" w:rsidRPr="00C65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препаратов, это обезболивающее и жаропонижающее средство.</w:t>
      </w:r>
    </w:p>
    <w:p w:rsidR="00AD2E86" w:rsidRPr="00C658DB" w:rsidRDefault="00AD2E86" w:rsidP="00C658DB">
      <w:pPr>
        <w:shd w:val="clear" w:color="auto" w:fill="FFFFFF"/>
        <w:spacing w:after="0" w:line="360" w:lineRule="auto"/>
        <w:ind w:left="-567"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рассмотрим</w:t>
      </w:r>
      <w:r w:rsidR="00CB06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маркетинговый анализ и его функции.</w:t>
      </w:r>
    </w:p>
    <w:p w:rsidR="00BD1EDA" w:rsidRDefault="00BD1EDA" w:rsidP="00C658D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  <w:rPr>
          <w:color w:val="FF0000"/>
        </w:rPr>
      </w:pPr>
      <w:r>
        <w:t>Маркетинговый анализ - это важная практика, выполняемая предприятиями для получения информации о своем рынке, клиентах и конкуренции. Он включ</w:t>
      </w:r>
      <w:r>
        <w:t>ает в себя сбор и анализ данных, который помогает</w:t>
      </w:r>
      <w:r>
        <w:t xml:space="preserve"> </w:t>
      </w:r>
      <w:r>
        <w:t xml:space="preserve">предприятиям </w:t>
      </w:r>
      <w:r>
        <w:t xml:space="preserve">лучше </w:t>
      </w:r>
      <w:r>
        <w:t>изучить связь спроса и предложения, изучить пути улучшения и расширения своей целевой аудитории.</w:t>
      </w:r>
    </w:p>
    <w:p w:rsidR="00BD1EDA" w:rsidRPr="009E1983" w:rsidRDefault="00BD1EDA" w:rsidP="00C658DB">
      <w:pPr>
        <w:pStyle w:val="a3"/>
        <w:shd w:val="clear" w:color="auto" w:fill="FFFFFF"/>
        <w:spacing w:before="0" w:beforeAutospacing="0" w:after="0" w:afterAutospacing="0" w:line="360" w:lineRule="auto"/>
        <w:ind w:left="-567" w:firstLine="567"/>
        <w:contextualSpacing/>
        <w:jc w:val="both"/>
      </w:pPr>
      <w:r w:rsidRPr="009E1983">
        <w:t xml:space="preserve">Целью маркетингового анализа является продвижение предприятия на более высокий уровень в результате исправления ошибок, выявленных за прошедший проанализированный период, правильного распределения и распланирования доходов и расходов на будущее и </w:t>
      </w:r>
      <w:r w:rsidR="009E1983" w:rsidRPr="009E1983">
        <w:t>более полного понятия потребностей своих покупателей.</w:t>
      </w:r>
    </w:p>
    <w:p w:rsidR="00572CCF" w:rsidRPr="009E1983" w:rsidRDefault="009E1983" w:rsidP="009E1983">
      <w:pPr>
        <w:pStyle w:val="a3"/>
        <w:shd w:val="clear" w:color="auto" w:fill="FFFFFF"/>
        <w:spacing w:before="720" w:beforeAutospacing="0" w:after="0" w:afterAutospacing="0" w:line="360" w:lineRule="auto"/>
        <w:ind w:left="-567" w:firstLine="567"/>
        <w:contextualSpacing/>
        <w:jc w:val="both"/>
      </w:pPr>
      <w:r w:rsidRPr="009E1983">
        <w:t xml:space="preserve">Маркетинговый анализ предприятия позволяет снизить риски убытков, прогнозировать доходы и расходы, оценить эффективность деятельности предприятия и ввести оборот товаров или продукции, на которые выше спрос. </w:t>
      </w:r>
    </w:p>
    <w:p w:rsidR="00E95278" w:rsidRPr="00C658DB" w:rsidRDefault="008C02FC" w:rsidP="00C658DB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b/>
          <w:sz w:val="24"/>
          <w:szCs w:val="24"/>
        </w:rPr>
        <w:t>Целью моего исследования</w:t>
      </w:r>
      <w:r w:rsidRPr="00C658DB">
        <w:rPr>
          <w:rFonts w:ascii="Times New Roman" w:hAnsi="Times New Roman" w:cs="Times New Roman"/>
          <w:sz w:val="24"/>
          <w:szCs w:val="24"/>
        </w:rPr>
        <w:t xml:space="preserve"> было провести маркетинговый анализ противовоспалительных препаратов фармацевтического рынка Российской Федерации и определить какие препараты наиболее востребованы, какие препараты вышли из зоны спроса, ценовая категория предпочитаемых препаратов и т.д.</w:t>
      </w:r>
    </w:p>
    <w:p w:rsidR="00222944" w:rsidRPr="00C658DB" w:rsidRDefault="008C02FC" w:rsidP="00C658DB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b/>
          <w:sz w:val="24"/>
          <w:szCs w:val="24"/>
        </w:rPr>
        <w:t xml:space="preserve">Материалы и методы. </w:t>
      </w:r>
      <w:r w:rsidRPr="00C658DB">
        <w:rPr>
          <w:rFonts w:ascii="Times New Roman" w:hAnsi="Times New Roman" w:cs="Times New Roman"/>
          <w:sz w:val="24"/>
          <w:szCs w:val="24"/>
        </w:rPr>
        <w:t>Для проведения маркетингового анализа ПВП мы сделали анкетирование среди покупателей аптечной сети «Шах»</w:t>
      </w:r>
      <w:r w:rsidR="00B77A67" w:rsidRPr="00C658DB">
        <w:rPr>
          <w:rFonts w:ascii="Times New Roman" w:hAnsi="Times New Roman" w:cs="Times New Roman"/>
          <w:sz w:val="24"/>
          <w:szCs w:val="24"/>
        </w:rPr>
        <w:t xml:space="preserve"> г. Астрахань</w:t>
      </w:r>
      <w:r w:rsidRPr="00C658DB">
        <w:rPr>
          <w:rFonts w:ascii="Times New Roman" w:hAnsi="Times New Roman" w:cs="Times New Roman"/>
          <w:sz w:val="24"/>
          <w:szCs w:val="24"/>
        </w:rPr>
        <w:t>, а также провели анализ документации за последний</w:t>
      </w:r>
      <w:r w:rsidR="00B77A67" w:rsidRPr="00C658DB">
        <w:rPr>
          <w:rFonts w:ascii="Times New Roman" w:hAnsi="Times New Roman" w:cs="Times New Roman"/>
          <w:sz w:val="24"/>
          <w:szCs w:val="24"/>
        </w:rPr>
        <w:t xml:space="preserve"> год</w:t>
      </w:r>
      <w:r w:rsidRPr="00C658DB">
        <w:rPr>
          <w:rFonts w:ascii="Times New Roman" w:hAnsi="Times New Roman" w:cs="Times New Roman"/>
          <w:sz w:val="24"/>
          <w:szCs w:val="24"/>
        </w:rPr>
        <w:t xml:space="preserve">, где большее внимание обращали на количество проданных упаковок препаратов и </w:t>
      </w:r>
      <w:r w:rsidR="00B77A67" w:rsidRPr="00C658DB">
        <w:rPr>
          <w:rFonts w:ascii="Times New Roman" w:hAnsi="Times New Roman" w:cs="Times New Roman"/>
          <w:sz w:val="24"/>
          <w:szCs w:val="24"/>
        </w:rPr>
        <w:t xml:space="preserve">изменение спроса в зависимости от времени года. </w:t>
      </w:r>
      <w:r w:rsidR="00222944" w:rsidRPr="00C658DB">
        <w:rPr>
          <w:rFonts w:ascii="Times New Roman" w:hAnsi="Times New Roman" w:cs="Times New Roman"/>
          <w:sz w:val="24"/>
          <w:szCs w:val="24"/>
        </w:rPr>
        <w:t xml:space="preserve">Также нами был проведен опрос среди работников аптек, вопросы были направлены на определение того, кто чаще всего покупает ПВП, каким препаратам отдают предпочтение по ценовой категории и по выпуску. </w:t>
      </w:r>
    </w:p>
    <w:p w:rsidR="00C658DB" w:rsidRDefault="00AD2E86" w:rsidP="00C658DB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D2E86">
        <w:rPr>
          <w:rFonts w:ascii="Times New Roman" w:hAnsi="Times New Roman" w:cs="Times New Roman"/>
          <w:b/>
          <w:sz w:val="24"/>
          <w:szCs w:val="24"/>
        </w:rPr>
        <w:t xml:space="preserve">Результаты исследования. </w:t>
      </w:r>
      <w:r w:rsidR="00B77A67" w:rsidRPr="00C658DB">
        <w:rPr>
          <w:rFonts w:ascii="Times New Roman" w:hAnsi="Times New Roman" w:cs="Times New Roman"/>
          <w:sz w:val="24"/>
          <w:szCs w:val="24"/>
        </w:rPr>
        <w:t>Путем анкетирован</w:t>
      </w:r>
      <w:r w:rsidR="00222944" w:rsidRPr="00C658DB">
        <w:rPr>
          <w:rFonts w:ascii="Times New Roman" w:hAnsi="Times New Roman" w:cs="Times New Roman"/>
          <w:sz w:val="24"/>
          <w:szCs w:val="24"/>
        </w:rPr>
        <w:t>ия нами было опрошено 56 покупателей</w:t>
      </w:r>
      <w:r w:rsidR="00B77A67" w:rsidRPr="00C658DB">
        <w:rPr>
          <w:rFonts w:ascii="Times New Roman" w:hAnsi="Times New Roman" w:cs="Times New Roman"/>
          <w:sz w:val="24"/>
          <w:szCs w:val="24"/>
        </w:rPr>
        <w:t>.</w:t>
      </w:r>
      <w:r w:rsidR="00222944" w:rsidRPr="00C658DB">
        <w:rPr>
          <w:rFonts w:ascii="Times New Roman" w:hAnsi="Times New Roman" w:cs="Times New Roman"/>
          <w:sz w:val="24"/>
          <w:szCs w:val="24"/>
        </w:rPr>
        <w:t xml:space="preserve"> По половому признаку распределение покупателей было следующим: 68% (38 человек) женщин и 32% (18 человек) мужчин.</w:t>
      </w:r>
    </w:p>
    <w:p w:rsidR="008C02FC" w:rsidRPr="00C658DB" w:rsidRDefault="00222944" w:rsidP="00C658DB">
      <w:pPr>
        <w:spacing w:after="0"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2944" w:rsidRPr="00C658DB" w:rsidRDefault="00222944" w:rsidP="00C658DB">
      <w:pPr>
        <w:spacing w:after="0" w:line="36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Рис. 1. Распределение опрошенных по половому признаку. (%)</w:t>
      </w:r>
    </w:p>
    <w:p w:rsidR="00222944" w:rsidRPr="00C658DB" w:rsidRDefault="00222944" w:rsidP="00C658DB">
      <w:pPr>
        <w:spacing w:after="0" w:line="36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 xml:space="preserve">По возрастной категории распределение опрошенных </w:t>
      </w:r>
      <w:r w:rsidR="00AE25C0" w:rsidRPr="00C658DB">
        <w:rPr>
          <w:rFonts w:ascii="Times New Roman" w:hAnsi="Times New Roman" w:cs="Times New Roman"/>
          <w:sz w:val="24"/>
          <w:szCs w:val="24"/>
        </w:rPr>
        <w:t xml:space="preserve">отображено на рисунке 2. </w:t>
      </w:r>
    </w:p>
    <w:p w:rsidR="00222944" w:rsidRPr="00C658DB" w:rsidRDefault="00222944" w:rsidP="00C658DB">
      <w:pPr>
        <w:spacing w:after="0" w:line="36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8527" cy="3200400"/>
            <wp:effectExtent l="0" t="0" r="127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22944" w:rsidRPr="00C658DB" w:rsidRDefault="00AE25C0" w:rsidP="00C658DB">
      <w:pPr>
        <w:spacing w:after="0" w:line="360" w:lineRule="auto"/>
        <w:ind w:left="-567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Рис. 2. Распределение опрошенных по возрастному признаку.</w:t>
      </w:r>
    </w:p>
    <w:p w:rsidR="00E3305E" w:rsidRPr="00C658DB" w:rsidRDefault="00E3305E" w:rsidP="00C658DB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По результатам опроса, мы смогли рассмотреть несколько показателей выбора препаратов покупателями – это: оптимальная цена, производство, спектр действия препарата.</w:t>
      </w:r>
    </w:p>
    <w:p w:rsidR="0042444E" w:rsidRPr="00C658DB" w:rsidRDefault="0042444E" w:rsidP="00C658DB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По ценовой категории было выявлено следующее: наиболее предпочитаемым ценовым показателем по проведенному опросу были препараты в ценовом диапазоне 100</w:t>
      </w:r>
      <w:r w:rsidR="009B7AE9">
        <w:rPr>
          <w:rFonts w:ascii="Times New Roman" w:hAnsi="Times New Roman" w:cs="Times New Roman"/>
          <w:sz w:val="24"/>
          <w:szCs w:val="24"/>
        </w:rPr>
        <w:t xml:space="preserve"> -</w:t>
      </w:r>
      <w:r w:rsidRPr="00C658DB">
        <w:rPr>
          <w:rFonts w:ascii="Times New Roman" w:hAnsi="Times New Roman" w:cs="Times New Roman"/>
          <w:sz w:val="24"/>
          <w:szCs w:val="24"/>
        </w:rPr>
        <w:t xml:space="preserve"> 200 рублей. 30% опрошенных выбрали, что покупают препараты в ценовом диапазоне до 100 р., 54% - от 100 до 200 р. И 16% свыше 200 рублей. (рис.3.)</w:t>
      </w:r>
    </w:p>
    <w:p w:rsidR="0042444E" w:rsidRPr="00C658DB" w:rsidRDefault="0042444E" w:rsidP="00C658DB">
      <w:pPr>
        <w:spacing w:after="0" w:line="360" w:lineRule="auto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2444E" w:rsidRPr="00C658DB" w:rsidRDefault="00EB4D0D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Препараты группы НПВП разнородны по своей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стоит отметить, что высокоселективные препараты на фармацевтическом рынке выходят за средний ценовой диапазон, что может быть связано с их высокой себестоимостью. </w:t>
      </w:r>
      <w:r w:rsidR="0042444E" w:rsidRPr="00C658DB">
        <w:rPr>
          <w:rFonts w:ascii="Times New Roman" w:hAnsi="Times New Roman" w:cs="Times New Roman"/>
          <w:sz w:val="24"/>
          <w:szCs w:val="24"/>
        </w:rPr>
        <w:t>Второй интересный для нас показатель был – предпочтение производства. Из общего числа опрошенных, 43% (24 человек) предпочли покупать препараты отечественного производства и 57% (32 человек) отдают предпочтение импортным препаратам. (рис. 4)</w:t>
      </w:r>
      <w:r w:rsidR="00427723" w:rsidRPr="00C658DB">
        <w:rPr>
          <w:rFonts w:ascii="Times New Roman" w:hAnsi="Times New Roman" w:cs="Times New Roman"/>
          <w:sz w:val="24"/>
          <w:szCs w:val="24"/>
        </w:rPr>
        <w:t xml:space="preserve">. По нашему мнению, это связано с более высокой рекламной способностью импортных препаратов. </w:t>
      </w:r>
    </w:p>
    <w:p w:rsidR="0042444E" w:rsidRPr="00C658DB" w:rsidRDefault="0042444E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622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27723" w:rsidRPr="00C658DB" w:rsidRDefault="00427723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Рис.4. Предпочтение препаратов в зависимости от производства.</w:t>
      </w:r>
    </w:p>
    <w:p w:rsidR="006652EA" w:rsidRPr="00C658DB" w:rsidRDefault="003C385F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показаний к тем или иным препаратам из группы НПВП, мы провели сравнительный анализ, в результате которого пришли к выводу, что широта клинического применения препаратов данной группы ниже, чем у препаратов других групп. Более подробные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результаты предоставлены на рисунке 5. </w:t>
      </w:r>
      <w:r w:rsidR="00427723" w:rsidRPr="00C658DB">
        <w:rPr>
          <w:rFonts w:ascii="Times New Roman" w:hAnsi="Times New Roman" w:cs="Times New Roman"/>
          <w:sz w:val="24"/>
          <w:szCs w:val="24"/>
        </w:rPr>
        <w:t>По результатам опроса, наибольшее предпочтение покупатели отдают препаратам с более «широким спектром действия»</w:t>
      </w:r>
    </w:p>
    <w:p w:rsidR="00427723" w:rsidRPr="00C658DB" w:rsidRDefault="00427723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7723" w:rsidRPr="00C658DB" w:rsidRDefault="00427723" w:rsidP="00C658DB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83605" cy="2867025"/>
            <wp:effectExtent l="19050" t="0" r="1714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7D2F" w:rsidRPr="00C658DB" w:rsidRDefault="00427723" w:rsidP="00C658DB">
      <w:pPr>
        <w:spacing w:after="0" w:line="36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Рис.5. Спектр действия НПВП.</w:t>
      </w:r>
    </w:p>
    <w:p w:rsidR="00957D2F" w:rsidRPr="00C658DB" w:rsidRDefault="00957D2F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По результатам опроса фармацевтов из сети аптек «Щах» города Астрахань и анализа аптечной документации, мы выделили следующие результаты. Анализ продаж НПВП по периодам года выявил, что наибольшее количество препаратов данной группы продаются в осенне-зимний период, что на наш взгляд связано с тем, что это период распространения ОРВИ и с помощью препаратов данной группы пациенты борются с симптомами ОРВИ. Более подробное распределение по временам года на рисунке 6.</w:t>
      </w:r>
    </w:p>
    <w:p w:rsidR="00957D2F" w:rsidRPr="00C658DB" w:rsidRDefault="00957D2F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58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2766350"/>
            <wp:effectExtent l="0" t="0" r="0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D1679" w:rsidRPr="00C658DB" w:rsidRDefault="00957D2F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Наибольшее предпочтение отечественным препаратам, знакомым с давних времен отдают покупатели старше 40 лет, покупатели возрастной категории 30-40 лет предпочитают современные препараты.</w:t>
      </w:r>
    </w:p>
    <w:p w:rsidR="00957D2F" w:rsidRPr="00C658DB" w:rsidRDefault="00957D2F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lastRenderedPageBreak/>
        <w:t>Также покупатели отдают предпочтение препаратам</w:t>
      </w:r>
      <w:r w:rsidR="009D1679" w:rsidRPr="00C658DB">
        <w:rPr>
          <w:rFonts w:ascii="Times New Roman" w:hAnsi="Times New Roman" w:cs="Times New Roman"/>
          <w:sz w:val="24"/>
          <w:szCs w:val="24"/>
        </w:rPr>
        <w:t>,</w:t>
      </w:r>
      <w:r w:rsidRPr="00C658DB">
        <w:rPr>
          <w:rFonts w:ascii="Times New Roman" w:hAnsi="Times New Roman" w:cs="Times New Roman"/>
          <w:sz w:val="24"/>
          <w:szCs w:val="24"/>
        </w:rPr>
        <w:t xml:space="preserve"> выпускающимся без рецептурного бланка и не вход</w:t>
      </w:r>
      <w:r w:rsidR="009D1679" w:rsidRPr="00C658DB">
        <w:rPr>
          <w:rFonts w:ascii="Times New Roman" w:hAnsi="Times New Roman" w:cs="Times New Roman"/>
          <w:sz w:val="24"/>
          <w:szCs w:val="24"/>
        </w:rPr>
        <w:t>я</w:t>
      </w:r>
      <w:r w:rsidRPr="00C658DB">
        <w:rPr>
          <w:rFonts w:ascii="Times New Roman" w:hAnsi="Times New Roman" w:cs="Times New Roman"/>
          <w:sz w:val="24"/>
          <w:szCs w:val="24"/>
        </w:rPr>
        <w:t xml:space="preserve">щим в список </w:t>
      </w:r>
      <w:r w:rsidR="009D1679" w:rsidRPr="00C658DB">
        <w:rPr>
          <w:rFonts w:ascii="Times New Roman" w:hAnsi="Times New Roman" w:cs="Times New Roman"/>
          <w:sz w:val="24"/>
          <w:szCs w:val="24"/>
        </w:rPr>
        <w:t xml:space="preserve">ЖНВЛП, что может быть связано с низкой ценовой категорией таких препаратов. </w:t>
      </w:r>
      <w:r w:rsidR="00BD1EDA">
        <w:rPr>
          <w:rFonts w:ascii="Times New Roman" w:hAnsi="Times New Roman" w:cs="Times New Roman"/>
          <w:sz w:val="24"/>
          <w:szCs w:val="24"/>
        </w:rPr>
        <w:t>В</w:t>
      </w:r>
      <w:r w:rsidR="009D1679" w:rsidRPr="00C658DB">
        <w:rPr>
          <w:rFonts w:ascii="Times New Roman" w:hAnsi="Times New Roman" w:cs="Times New Roman"/>
          <w:sz w:val="24"/>
          <w:szCs w:val="24"/>
        </w:rPr>
        <w:t xml:space="preserve"> результат</w:t>
      </w:r>
      <w:r w:rsidR="00BD1EDA">
        <w:rPr>
          <w:rFonts w:ascii="Times New Roman" w:hAnsi="Times New Roman" w:cs="Times New Roman"/>
          <w:sz w:val="24"/>
          <w:szCs w:val="24"/>
        </w:rPr>
        <w:t xml:space="preserve">е </w:t>
      </w:r>
      <w:r w:rsidR="009D1679" w:rsidRPr="00C658DB">
        <w:rPr>
          <w:rFonts w:ascii="Times New Roman" w:hAnsi="Times New Roman" w:cs="Times New Roman"/>
          <w:sz w:val="24"/>
          <w:szCs w:val="24"/>
        </w:rPr>
        <w:t xml:space="preserve">сравнительного анализа </w:t>
      </w:r>
      <w:r w:rsidR="00BD1EDA">
        <w:rPr>
          <w:rFonts w:ascii="Times New Roman" w:hAnsi="Times New Roman" w:cs="Times New Roman"/>
          <w:sz w:val="24"/>
          <w:szCs w:val="24"/>
        </w:rPr>
        <w:t xml:space="preserve">нами было выяснено, что </w:t>
      </w:r>
      <w:r w:rsidR="00BD1EDA" w:rsidRPr="00C658DB">
        <w:rPr>
          <w:rFonts w:ascii="Times New Roman" w:hAnsi="Times New Roman" w:cs="Times New Roman"/>
          <w:sz w:val="24"/>
          <w:szCs w:val="24"/>
        </w:rPr>
        <w:t>в список ЖНВЛП</w:t>
      </w:r>
      <w:r w:rsidR="00BD1EDA">
        <w:rPr>
          <w:rFonts w:ascii="Times New Roman" w:hAnsi="Times New Roman" w:cs="Times New Roman"/>
          <w:sz w:val="24"/>
          <w:szCs w:val="24"/>
        </w:rPr>
        <w:t xml:space="preserve"> </w:t>
      </w:r>
      <w:r w:rsidR="00BD1EDA" w:rsidRPr="00C658DB">
        <w:rPr>
          <w:rFonts w:ascii="Times New Roman" w:hAnsi="Times New Roman" w:cs="Times New Roman"/>
          <w:sz w:val="24"/>
          <w:szCs w:val="24"/>
        </w:rPr>
        <w:t>входят</w:t>
      </w:r>
      <w:r w:rsidR="00BD1EDA">
        <w:rPr>
          <w:rFonts w:ascii="Times New Roman" w:hAnsi="Times New Roman" w:cs="Times New Roman"/>
          <w:sz w:val="24"/>
          <w:szCs w:val="24"/>
        </w:rPr>
        <w:t xml:space="preserve"> около </w:t>
      </w:r>
      <w:r w:rsidR="009D1679" w:rsidRPr="00C658DB">
        <w:rPr>
          <w:rFonts w:ascii="Times New Roman" w:hAnsi="Times New Roman" w:cs="Times New Roman"/>
          <w:sz w:val="24"/>
          <w:szCs w:val="24"/>
        </w:rPr>
        <w:t>32% препаратов из группы</w:t>
      </w:r>
      <w:r w:rsidR="00BD1EDA">
        <w:rPr>
          <w:rFonts w:ascii="Times New Roman" w:hAnsi="Times New Roman" w:cs="Times New Roman"/>
          <w:sz w:val="24"/>
          <w:szCs w:val="24"/>
        </w:rPr>
        <w:t xml:space="preserve"> НПВП</w:t>
      </w:r>
      <w:r w:rsidR="009D1679" w:rsidRPr="00C658DB">
        <w:rPr>
          <w:rFonts w:ascii="Times New Roman" w:hAnsi="Times New Roman" w:cs="Times New Roman"/>
          <w:sz w:val="24"/>
          <w:szCs w:val="24"/>
        </w:rPr>
        <w:t>,</w:t>
      </w:r>
      <w:r w:rsidR="00BD1EDA">
        <w:rPr>
          <w:rFonts w:ascii="Times New Roman" w:hAnsi="Times New Roman" w:cs="Times New Roman"/>
          <w:sz w:val="24"/>
          <w:szCs w:val="24"/>
        </w:rPr>
        <w:t xml:space="preserve"> за исключением</w:t>
      </w:r>
      <w:r w:rsidR="009D1679" w:rsidRPr="00C658DB">
        <w:rPr>
          <w:rFonts w:ascii="Times New Roman" w:hAnsi="Times New Roman" w:cs="Times New Roman"/>
          <w:sz w:val="24"/>
          <w:szCs w:val="24"/>
        </w:rPr>
        <w:t xml:space="preserve"> высокоселективны</w:t>
      </w:r>
      <w:r w:rsidR="00BD1EDA">
        <w:rPr>
          <w:rFonts w:ascii="Times New Roman" w:hAnsi="Times New Roman" w:cs="Times New Roman"/>
          <w:sz w:val="24"/>
          <w:szCs w:val="24"/>
        </w:rPr>
        <w:t>х препаратов, которые на фармацевтическом рынке находятся в ценовой категории выше среднего. НПВП. На наш взгляд</w:t>
      </w:r>
      <w:r w:rsidR="009D1679" w:rsidRPr="00C658DB">
        <w:rPr>
          <w:rFonts w:ascii="Times New Roman" w:hAnsi="Times New Roman" w:cs="Times New Roman"/>
          <w:sz w:val="24"/>
          <w:szCs w:val="24"/>
        </w:rPr>
        <w:t>,</w:t>
      </w:r>
      <w:r w:rsidR="00BD1EDA">
        <w:rPr>
          <w:rFonts w:ascii="Times New Roman" w:hAnsi="Times New Roman" w:cs="Times New Roman"/>
          <w:sz w:val="24"/>
          <w:szCs w:val="24"/>
        </w:rPr>
        <w:t xml:space="preserve"> с целью регулирования ценообразования и более равномерного распределения спроса, было бы правильнее включить эти группы препаратов</w:t>
      </w:r>
      <w:r w:rsidR="009D1679" w:rsidRPr="00C658DB">
        <w:rPr>
          <w:rFonts w:ascii="Times New Roman" w:hAnsi="Times New Roman" w:cs="Times New Roman"/>
          <w:sz w:val="24"/>
          <w:szCs w:val="24"/>
        </w:rPr>
        <w:t xml:space="preserve"> в </w:t>
      </w:r>
      <w:r w:rsidR="00BD1EDA">
        <w:rPr>
          <w:rFonts w:ascii="Times New Roman" w:hAnsi="Times New Roman" w:cs="Times New Roman"/>
          <w:sz w:val="24"/>
          <w:szCs w:val="24"/>
        </w:rPr>
        <w:t>список ЖНВЛП.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58DB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-Препараты из группы НПВП являются наиболее востребованными в фармацевтическо</w:t>
      </w:r>
      <w:r w:rsidR="006326A8">
        <w:rPr>
          <w:rFonts w:ascii="Times New Roman" w:hAnsi="Times New Roman" w:cs="Times New Roman"/>
          <w:sz w:val="24"/>
          <w:szCs w:val="24"/>
        </w:rPr>
        <w:t>й</w:t>
      </w:r>
      <w:r w:rsidRPr="00C658DB">
        <w:rPr>
          <w:rFonts w:ascii="Times New Roman" w:hAnsi="Times New Roman" w:cs="Times New Roman"/>
          <w:sz w:val="24"/>
          <w:szCs w:val="24"/>
        </w:rPr>
        <w:t xml:space="preserve"> промышленности Российской Федерации за счёт многообразия показаний к данной группе препаратов; 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-Группа препаратов НПВП представлены различными ценовыми категориями, из которых наибольшее предпочтение, по результатам нашего исследования, отдается средней ценовой категории;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-32% препаратов из рассмотренной группы входят в состав ЖНВЛП, кроме селективных НПВП, что неблагоприятно сказывается на ценообразовании;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>-Наибольший спрос на НПВП приходится на осенне-зимний период года, что может быть связано с распространение в этот период ОРВИ и предпочтению данных препаратов для снятия симптомов</w:t>
      </w:r>
      <w:r w:rsidR="00296D29">
        <w:rPr>
          <w:rFonts w:ascii="Times New Roman" w:hAnsi="Times New Roman" w:cs="Times New Roman"/>
          <w:sz w:val="24"/>
          <w:szCs w:val="24"/>
        </w:rPr>
        <w:t>.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1679" w:rsidRPr="006326A8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6A8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9D1679" w:rsidRPr="00C658DB" w:rsidRDefault="009D1679" w:rsidP="00C658DB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658DB">
        <w:rPr>
          <w:rFonts w:ascii="Times New Roman" w:hAnsi="Times New Roman" w:cs="Times New Roman"/>
          <w:color w:val="000000"/>
          <w:sz w:val="24"/>
          <w:szCs w:val="24"/>
        </w:rPr>
        <w:t>Жураховская</w:t>
      </w:r>
      <w:proofErr w:type="spellEnd"/>
      <w:r w:rsidRPr="00C658DB">
        <w:rPr>
          <w:rFonts w:ascii="Times New Roman" w:hAnsi="Times New Roman" w:cs="Times New Roman"/>
          <w:color w:val="000000"/>
          <w:sz w:val="24"/>
          <w:szCs w:val="24"/>
        </w:rPr>
        <w:t xml:space="preserve"> Д.В. Диссертация «Обоснование методического подхода к исследованию рациональности использования нестероидных противовоспалительных препаратов» Москва 2014г. – 204 с.</w:t>
      </w:r>
    </w:p>
    <w:p w:rsidR="009D1679" w:rsidRPr="00C658DB" w:rsidRDefault="009D1679" w:rsidP="00C658DB">
      <w:pPr>
        <w:pStyle w:val="a3"/>
        <w:numPr>
          <w:ilvl w:val="0"/>
          <w:numId w:val="2"/>
        </w:numPr>
        <w:spacing w:after="0" w:afterAutospacing="0" w:line="360" w:lineRule="auto"/>
        <w:ind w:left="-567" w:firstLine="567"/>
        <w:contextualSpacing/>
        <w:rPr>
          <w:color w:val="000000"/>
        </w:rPr>
      </w:pPr>
      <w:proofErr w:type="spellStart"/>
      <w:r w:rsidRPr="00C658DB">
        <w:rPr>
          <w:color w:val="000000"/>
        </w:rPr>
        <w:t>Барскова</w:t>
      </w:r>
      <w:proofErr w:type="spellEnd"/>
      <w:r w:rsidRPr="00C658DB">
        <w:rPr>
          <w:color w:val="000000"/>
        </w:rPr>
        <w:t xml:space="preserve"> В.Г. Что нам дает изучение статистики продаж </w:t>
      </w:r>
      <w:proofErr w:type="spellStart"/>
      <w:r w:rsidRPr="00C658DB">
        <w:rPr>
          <w:color w:val="000000"/>
        </w:rPr>
        <w:t>нестероидныхпротивовоспалительных</w:t>
      </w:r>
      <w:proofErr w:type="spellEnd"/>
      <w:r w:rsidRPr="00C658DB">
        <w:rPr>
          <w:color w:val="000000"/>
        </w:rPr>
        <w:t xml:space="preserve"> препаратов в Российской Федерации? // Современная ревматология. – 2011. – № 3. – С. 68–72.</w:t>
      </w:r>
    </w:p>
    <w:p w:rsidR="009D1679" w:rsidRPr="00C658DB" w:rsidRDefault="009D1679" w:rsidP="00C658DB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DB">
        <w:rPr>
          <w:rFonts w:ascii="Times New Roman" w:hAnsi="Times New Roman" w:cs="Times New Roman"/>
          <w:color w:val="000000"/>
          <w:sz w:val="24"/>
          <w:szCs w:val="24"/>
        </w:rPr>
        <w:t>Уварова Ю. Рынок нестероидных противовоспалительных препаратов // Ремедиум. – 2010. – № 9. – С. 17–20.</w:t>
      </w:r>
    </w:p>
    <w:p w:rsidR="009D1679" w:rsidRPr="00C658DB" w:rsidRDefault="009D1679" w:rsidP="00C658DB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8DB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Государственный реестр лекарственных средств [Электронный ресурс]. </w:t>
      </w:r>
    </w:p>
    <w:p w:rsidR="009D1679" w:rsidRPr="00C658DB" w:rsidRDefault="009D1679" w:rsidP="00C658DB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58DB">
        <w:rPr>
          <w:rFonts w:ascii="Times New Roman" w:hAnsi="Times New Roman" w:cs="Times New Roman"/>
          <w:sz w:val="24"/>
          <w:szCs w:val="24"/>
        </w:rPr>
        <w:t xml:space="preserve">Петров А.Л., Вяткина С.Ю., Скрипка С.В. Маркетинговый анализ ассортимента в группе нестероидных противовоспалительных препаратов в сегменте аптечных организаций города Екатеринбурга. Вестник Уральского государственного медицинского университета. 2016;3:С. 45-49. </w:t>
      </w:r>
    </w:p>
    <w:p w:rsidR="009D1679" w:rsidRPr="00C658DB" w:rsidRDefault="009D1679" w:rsidP="00C658DB">
      <w:pPr>
        <w:pStyle w:val="a5"/>
        <w:numPr>
          <w:ilvl w:val="0"/>
          <w:numId w:val="2"/>
        </w:num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58DB">
        <w:rPr>
          <w:rFonts w:ascii="Times New Roman" w:hAnsi="Times New Roman" w:cs="Times New Roman"/>
          <w:sz w:val="24"/>
          <w:szCs w:val="24"/>
        </w:rPr>
        <w:lastRenderedPageBreak/>
        <w:t>Эрмекова</w:t>
      </w:r>
      <w:proofErr w:type="spellEnd"/>
      <w:r w:rsidRPr="00C658DB">
        <w:rPr>
          <w:rFonts w:ascii="Times New Roman" w:hAnsi="Times New Roman" w:cs="Times New Roman"/>
          <w:sz w:val="24"/>
          <w:szCs w:val="24"/>
        </w:rPr>
        <w:t xml:space="preserve"> Д.У., Исмаилов И.З., Мураталиева А.Д. Маркетинговый анализ нестероидных противовоспалительных лекарственных препаратов группы </w:t>
      </w:r>
      <w:proofErr w:type="spellStart"/>
      <w:r w:rsidRPr="00C658DB">
        <w:rPr>
          <w:rFonts w:ascii="Times New Roman" w:hAnsi="Times New Roman" w:cs="Times New Roman"/>
          <w:sz w:val="24"/>
          <w:szCs w:val="24"/>
        </w:rPr>
        <w:t>оксикамов</w:t>
      </w:r>
      <w:proofErr w:type="spellEnd"/>
      <w:r w:rsidRPr="00C658D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658DB">
        <w:rPr>
          <w:rFonts w:ascii="Times New Roman" w:hAnsi="Times New Roman" w:cs="Times New Roman"/>
          <w:sz w:val="24"/>
          <w:szCs w:val="24"/>
        </w:rPr>
        <w:t>Кыргызской</w:t>
      </w:r>
      <w:proofErr w:type="spellEnd"/>
      <w:r w:rsidRPr="00C658DB">
        <w:rPr>
          <w:rFonts w:ascii="Times New Roman" w:hAnsi="Times New Roman" w:cs="Times New Roman"/>
          <w:sz w:val="24"/>
          <w:szCs w:val="24"/>
        </w:rPr>
        <w:t xml:space="preserve"> Республике. Медицинский вестник Башкортостана. 2020;15(1); </w:t>
      </w:r>
    </w:p>
    <w:p w:rsidR="009D1679" w:rsidRPr="00C658DB" w:rsidRDefault="009D1679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C127A" w:rsidRPr="00C658DB" w:rsidRDefault="009C127A" w:rsidP="00C658DB">
      <w:pPr>
        <w:spacing w:after="0" w:line="360" w:lineRule="auto"/>
        <w:ind w:left="-567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9C127A" w:rsidRPr="00C658DB" w:rsidSect="00827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3B07C0"/>
    <w:multiLevelType w:val="multilevel"/>
    <w:tmpl w:val="F28EF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D354D7"/>
    <w:multiLevelType w:val="hybridMultilevel"/>
    <w:tmpl w:val="D6E47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0A4D"/>
    <w:rsid w:val="00140A4D"/>
    <w:rsid w:val="00222944"/>
    <w:rsid w:val="00296D29"/>
    <w:rsid w:val="002F2DE1"/>
    <w:rsid w:val="002F31E6"/>
    <w:rsid w:val="003C385F"/>
    <w:rsid w:val="0042444E"/>
    <w:rsid w:val="00427723"/>
    <w:rsid w:val="00572CCF"/>
    <w:rsid w:val="006326A8"/>
    <w:rsid w:val="006652EA"/>
    <w:rsid w:val="00707A26"/>
    <w:rsid w:val="00823F87"/>
    <w:rsid w:val="00827CF2"/>
    <w:rsid w:val="008C02FC"/>
    <w:rsid w:val="00957D2F"/>
    <w:rsid w:val="00982870"/>
    <w:rsid w:val="009852F1"/>
    <w:rsid w:val="009B7AE9"/>
    <w:rsid w:val="009C127A"/>
    <w:rsid w:val="009D1679"/>
    <w:rsid w:val="009E1983"/>
    <w:rsid w:val="00AB60DB"/>
    <w:rsid w:val="00AD2E86"/>
    <w:rsid w:val="00AE25C0"/>
    <w:rsid w:val="00B77A67"/>
    <w:rsid w:val="00BD1EDA"/>
    <w:rsid w:val="00C658DB"/>
    <w:rsid w:val="00CB06C0"/>
    <w:rsid w:val="00DE7E48"/>
    <w:rsid w:val="00E3305E"/>
    <w:rsid w:val="00E95278"/>
    <w:rsid w:val="00EB4D0D"/>
    <w:rsid w:val="00F30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E40BA-A082-4E86-B70A-7EB11195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CF2"/>
  </w:style>
  <w:style w:type="paragraph" w:styleId="2">
    <w:name w:val="heading 2"/>
    <w:basedOn w:val="a"/>
    <w:link w:val="20"/>
    <w:uiPriority w:val="9"/>
    <w:qFormat/>
    <w:rsid w:val="002F2D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2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2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72CC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2D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652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9D167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5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5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ckeysolution.com/inflammation-causes-and-symptoms/" TargetMode="External"/><Relationship Id="rId13" Type="http://schemas.openxmlformats.org/officeDocument/2006/relationships/hyperlink" Target="https://hickeysolution.com/symptoms-of-stroke/" TargetMode="External"/><Relationship Id="rId18" Type="http://schemas.openxmlformats.org/officeDocument/2006/relationships/chart" Target="charts/chart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hickeysolution.com/neck/" TargetMode="External"/><Relationship Id="rId12" Type="http://schemas.openxmlformats.org/officeDocument/2006/relationships/hyperlink" Target="https://hickeysolution.com/heart-attack-or-myocardial-infarction/" TargetMode="External"/><Relationship Id="rId17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ickeysolution.com/back-pain-symptoms/" TargetMode="External"/><Relationship Id="rId11" Type="http://schemas.openxmlformats.org/officeDocument/2006/relationships/hyperlink" Target="https://hickeysolution.com/internal-bleeding-symptoms-and-causes/" TargetMode="External"/><Relationship Id="rId5" Type="http://schemas.openxmlformats.org/officeDocument/2006/relationships/hyperlink" Target="https://hickeysolution.com/symptoms-of-rheumatoid-arthritis/" TargetMode="External"/><Relationship Id="rId15" Type="http://schemas.openxmlformats.org/officeDocument/2006/relationships/chart" Target="charts/chart2.xml"/><Relationship Id="rId10" Type="http://schemas.openxmlformats.org/officeDocument/2006/relationships/hyperlink" Target="https://hickeysolution.com/heart-attack-or-myocardial-infarction/" TargetMode="External"/><Relationship Id="rId19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hyperlink" Target="https://hickeysolution.com/blood-test-blood-test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Процент от числа опрошенных покупателей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Процент от числа опрошенных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2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муж.</c:v>
                </c:pt>
                <c:pt idx="1">
                  <c:v>жен.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0.32000000000000006</c:v>
                </c:pt>
                <c:pt idx="1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310677311169441"/>
          <c:y val="0.9092257217847769"/>
          <c:w val="0.2948973826188393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6643005316895052"/>
          <c:y val="0.11817304086989126"/>
          <c:w val="0.44374279197786293"/>
          <c:h val="0.752601862267216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возрасту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30-40 лет</c:v>
                </c:pt>
                <c:pt idx="2">
                  <c:v>40-50 лет</c:v>
                </c:pt>
                <c:pt idx="3">
                  <c:v>от 50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0.21000000000000002</c:v>
                </c:pt>
                <c:pt idx="1">
                  <c:v>0.32000000000000006</c:v>
                </c:pt>
                <c:pt idx="2">
                  <c:v>0.18000000000000002</c:v>
                </c:pt>
                <c:pt idx="3">
                  <c:v>0.29000000000000004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Выбор ценового диапазона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До 100 р</c:v>
                </c:pt>
                <c:pt idx="1">
                  <c:v>100-200 р</c:v>
                </c:pt>
                <c:pt idx="2">
                  <c:v>выше 200 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0.30000000000000004</c:v>
                </c:pt>
                <c:pt idx="1">
                  <c:v>0.54</c:v>
                </c:pt>
                <c:pt idx="2">
                  <c:v>0.16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537592"/>
        <c:axId val="424534456"/>
      </c:barChart>
      <c:catAx>
        <c:axId val="42453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4456"/>
        <c:crosses val="autoZero"/>
        <c:auto val="1"/>
        <c:lblAlgn val="ctr"/>
        <c:lblOffset val="100"/>
        <c:noMultiLvlLbl val="0"/>
      </c:catAx>
      <c:valAx>
        <c:axId val="424534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7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Отечественные</c:v>
                </c:pt>
                <c:pt idx="1">
                  <c:v>импортные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0.43000000000000005</c:v>
                </c:pt>
                <c:pt idx="1">
                  <c:v>0.56999999999999995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535240"/>
        <c:axId val="424535632"/>
      </c:barChart>
      <c:catAx>
        <c:axId val="424535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5632"/>
        <c:crosses val="autoZero"/>
        <c:auto val="1"/>
        <c:lblAlgn val="ctr"/>
        <c:lblOffset val="100"/>
        <c:noMultiLvlLbl val="0"/>
      </c:catAx>
      <c:valAx>
        <c:axId val="424535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52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показаний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Лист1!$A$2:$A$10</c:f>
              <c:strCache>
                <c:ptCount val="9"/>
                <c:pt idx="0">
                  <c:v>Целекоксиб</c:v>
                </c:pt>
                <c:pt idx="1">
                  <c:v>нимесулид</c:v>
                </c:pt>
                <c:pt idx="2">
                  <c:v>кетопрофен</c:v>
                </c:pt>
                <c:pt idx="3">
                  <c:v>напроксен</c:v>
                </c:pt>
                <c:pt idx="4">
                  <c:v>ибупрофен</c:v>
                </c:pt>
                <c:pt idx="5">
                  <c:v>индометацин</c:v>
                </c:pt>
                <c:pt idx="6">
                  <c:v>кеторолак</c:v>
                </c:pt>
                <c:pt idx="7">
                  <c:v>диклофенак</c:v>
                </c:pt>
                <c:pt idx="8">
                  <c:v>мелоксикам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3</c:v>
                </c:pt>
                <c:pt idx="5">
                  <c:v>6</c:v>
                </c:pt>
                <c:pt idx="6">
                  <c:v>4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4532496"/>
        <c:axId val="424534064"/>
      </c:barChart>
      <c:catAx>
        <c:axId val="424532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4064"/>
        <c:crosses val="autoZero"/>
        <c:auto val="1"/>
        <c:lblAlgn val="ctr"/>
        <c:lblOffset val="100"/>
        <c:noMultiLvlLbl val="0"/>
      </c:catAx>
      <c:valAx>
        <c:axId val="424534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2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продаж по временам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лето</c:v>
                </c:pt>
                <c:pt idx="1">
                  <c:v>осень</c:v>
                </c:pt>
                <c:pt idx="2">
                  <c:v>зима</c:v>
                </c:pt>
                <c:pt idx="3">
                  <c:v>весна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0.14000000000000001</c:v>
                </c:pt>
                <c:pt idx="1">
                  <c:v>0.28000000000000008</c:v>
                </c:pt>
                <c:pt idx="2">
                  <c:v>0.39000000000000007</c:v>
                </c:pt>
                <c:pt idx="3">
                  <c:v>0.19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4538376"/>
        <c:axId val="424531712"/>
      </c:barChart>
      <c:catAx>
        <c:axId val="424538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1712"/>
        <c:crosses val="autoZero"/>
        <c:auto val="1"/>
        <c:lblAlgn val="ctr"/>
        <c:lblOffset val="100"/>
        <c:noMultiLvlLbl val="0"/>
      </c:catAx>
      <c:valAx>
        <c:axId val="42453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538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8</Pages>
  <Words>1800</Words>
  <Characters>10265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10</dc:creator>
  <cp:keywords/>
  <dc:description/>
  <cp:lastModifiedBy>Компьютер 10</cp:lastModifiedBy>
  <cp:revision>10</cp:revision>
  <dcterms:created xsi:type="dcterms:W3CDTF">2023-12-11T07:02:00Z</dcterms:created>
  <dcterms:modified xsi:type="dcterms:W3CDTF">2023-12-15T10:58:00Z</dcterms:modified>
</cp:coreProperties>
</file>